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AD3B" w14:textId="77777777" w:rsidR="00C93D2B" w:rsidRDefault="00C93D2B" w:rsidP="00B663C4">
      <w:pPr>
        <w:rPr>
          <w:rFonts w:asciiTheme="majorHAnsi" w:hAnsiTheme="majorHAnsi" w:cs="Arial"/>
          <w:b/>
          <w:bCs/>
          <w:noProof/>
          <w:color w:val="E36C0A" w:themeColor="accent6" w:themeShade="BF"/>
          <w:sz w:val="36"/>
          <w:szCs w:val="36"/>
          <w:lang w:val="en-GB" w:eastAsia="zh-CN"/>
        </w:rPr>
      </w:pPr>
    </w:p>
    <w:p w14:paraId="71E1ABD3" w14:textId="52D953DA" w:rsidR="00B663C4" w:rsidRPr="00C93D2B" w:rsidRDefault="00C93D2B" w:rsidP="00B663C4">
      <w:pPr>
        <w:rPr>
          <w:rFonts w:asciiTheme="majorHAnsi" w:hAnsiTheme="majorHAnsi"/>
          <w:b/>
          <w:bCs/>
          <w:sz w:val="28"/>
          <w:szCs w:val="28"/>
        </w:rPr>
      </w:pPr>
      <w:r w:rsidRPr="00C93D2B">
        <w:rPr>
          <w:rFonts w:asciiTheme="majorHAnsi" w:hAnsiTheme="majorHAnsi" w:cs="Arial"/>
          <w:b/>
          <w:bCs/>
          <w:noProof/>
          <w:color w:val="E36C0A" w:themeColor="accent6" w:themeShade="BF"/>
          <w:sz w:val="36"/>
          <w:szCs w:val="36"/>
          <w:lang w:val="en-GB" w:eastAsia="zh-CN"/>
        </w:rPr>
        <w:t>Improving communications for Antimicrobial Resistance (AMR) in Africa. How should we move forward?</w:t>
      </w:r>
    </w:p>
    <w:p w14:paraId="086DBF98" w14:textId="58A21B02" w:rsidR="00ED3DC7" w:rsidRPr="00C93D2B" w:rsidRDefault="00ED3DC7" w:rsidP="00B663C4">
      <w:pPr>
        <w:rPr>
          <w:rFonts w:asciiTheme="majorHAnsi" w:hAnsiTheme="majorHAnsi"/>
          <w:b/>
          <w:bCs/>
          <w:sz w:val="28"/>
          <w:szCs w:val="28"/>
        </w:rPr>
      </w:pPr>
    </w:p>
    <w:p w14:paraId="6AFDE357" w14:textId="65C14C13" w:rsidR="00C93D2B" w:rsidRDefault="00C93D2B" w:rsidP="00C93D2B">
      <w:pPr>
        <w:rPr>
          <w:rFonts w:asciiTheme="majorHAnsi" w:eastAsia="Calibri" w:hAnsiTheme="majorHAnsi" w:cs="Calibri"/>
        </w:rPr>
      </w:pPr>
    </w:p>
    <w:p w14:paraId="6F119732" w14:textId="43907002" w:rsidR="00C93D2B" w:rsidRPr="00C93D2B" w:rsidRDefault="00445CEF" w:rsidP="00445CEF">
      <w:pPr>
        <w:jc w:val="both"/>
        <w:rPr>
          <w:rFonts w:asciiTheme="majorHAnsi" w:eastAsia="Calibri" w:hAnsiTheme="majorHAnsi" w:cs="Calibri"/>
        </w:rPr>
      </w:pPr>
      <w:r>
        <w:rPr>
          <w:rFonts w:asciiTheme="majorHAnsi" w:eastAsia="Calibri" w:hAnsiTheme="majorHAnsi" w:cs="Calibri"/>
          <w:noProof/>
        </w:rPr>
        <w:drawing>
          <wp:anchor distT="0" distB="0" distL="114300" distR="114300" simplePos="0" relativeHeight="251658240" behindDoc="1" locked="0" layoutInCell="1" allowOverlap="1" wp14:anchorId="4543CF63" wp14:editId="722CC1C0">
            <wp:simplePos x="0" y="0"/>
            <wp:positionH relativeFrom="column">
              <wp:posOffset>4240530</wp:posOffset>
            </wp:positionH>
            <wp:positionV relativeFrom="paragraph">
              <wp:posOffset>18415</wp:posOffset>
            </wp:positionV>
            <wp:extent cx="1746250" cy="2129790"/>
            <wp:effectExtent l="0" t="0" r="6350" b="3810"/>
            <wp:wrapSquare wrapText="bothSides"/>
            <wp:docPr id="4" name="Picture 4" descr="A picture containing person, man, gam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on_AMR_Africa.png"/>
                    <pic:cNvPicPr/>
                  </pic:nvPicPr>
                  <pic:blipFill>
                    <a:blip r:embed="rId8"/>
                    <a:stretch>
                      <a:fillRect/>
                    </a:stretch>
                  </pic:blipFill>
                  <pic:spPr>
                    <a:xfrm>
                      <a:off x="0" y="0"/>
                      <a:ext cx="1746250" cy="2129790"/>
                    </a:xfrm>
                    <a:prstGeom prst="rect">
                      <a:avLst/>
                    </a:prstGeom>
                  </pic:spPr>
                </pic:pic>
              </a:graphicData>
            </a:graphic>
            <wp14:sizeRelH relativeFrom="page">
              <wp14:pctWidth>0</wp14:pctWidth>
            </wp14:sizeRelH>
            <wp14:sizeRelV relativeFrom="page">
              <wp14:pctHeight>0</wp14:pctHeight>
            </wp14:sizeRelV>
          </wp:anchor>
        </w:drawing>
      </w:r>
      <w:r w:rsidR="00C93D2B" w:rsidRPr="00C93D2B">
        <w:rPr>
          <w:rFonts w:asciiTheme="majorHAnsi" w:eastAsia="Calibri" w:hAnsiTheme="majorHAnsi" w:cs="Calibri"/>
        </w:rPr>
        <w:t>Antimicrobial agents, including antibiotics, have saved millions of lives, substantially reduced the burden of diseases in people and animals, improved quality of life, contributed to improved food production and safety, and helped increase life expectancy.</w:t>
      </w:r>
    </w:p>
    <w:p w14:paraId="073B8F17" w14:textId="4C05106E" w:rsidR="00C93D2B" w:rsidRPr="00C93D2B" w:rsidRDefault="00C93D2B" w:rsidP="00445CEF">
      <w:pPr>
        <w:jc w:val="both"/>
        <w:rPr>
          <w:rFonts w:asciiTheme="majorHAnsi" w:eastAsia="Calibri" w:hAnsiTheme="majorHAnsi" w:cs="Calibri"/>
        </w:rPr>
      </w:pPr>
    </w:p>
    <w:p w14:paraId="10E25BEB" w14:textId="3A11CC66"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However, the emergence and spread of antimicrobial resistance (AMR) is complicating the management of many infectious diseases. AMR is a major threat to development and the fight against infectious diseases. It endangers animal health and welfare, as well as food production. AMR also adversely affects the functioning of human, animal and plant health systems and economies.</w:t>
      </w:r>
    </w:p>
    <w:p w14:paraId="2E82222C" w14:textId="77777777" w:rsidR="00C93D2B" w:rsidRPr="00C93D2B" w:rsidRDefault="00C93D2B" w:rsidP="00445CEF">
      <w:pPr>
        <w:jc w:val="both"/>
        <w:rPr>
          <w:rFonts w:asciiTheme="majorHAnsi" w:eastAsia="Calibri" w:hAnsiTheme="majorHAnsi" w:cs="Calibri"/>
        </w:rPr>
      </w:pPr>
    </w:p>
    <w:p w14:paraId="56ECF87F" w14:textId="77777777" w:rsidR="00C93D2B" w:rsidRPr="00C93D2B" w:rsidRDefault="00C93D2B" w:rsidP="00445CEF">
      <w:pPr>
        <w:jc w:val="both"/>
        <w:rPr>
          <w:rFonts w:asciiTheme="majorHAnsi" w:eastAsia="Calibri" w:hAnsiTheme="majorHAnsi" w:cs="Calibri"/>
          <w:b/>
          <w:bCs/>
        </w:rPr>
      </w:pPr>
      <w:r w:rsidRPr="00C93D2B">
        <w:rPr>
          <w:rFonts w:asciiTheme="majorHAnsi" w:eastAsia="Calibri" w:hAnsiTheme="majorHAnsi" w:cs="Calibri"/>
          <w:b/>
          <w:bCs/>
        </w:rPr>
        <w:t>What is Antimicrobial Resistance (AMR)?</w:t>
      </w:r>
    </w:p>
    <w:p w14:paraId="5C060DD5" w14:textId="77777777"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AMR happens when microorganisms such as bacteria, fungi, viruses, and parasites change and become resistant to antimicrobial drugs, including antibiotics, to which they were originally susceptible to. This can be due to different factors such as the misuse or overuse of antimicrobials and exposure to counterfeit drugs. Moreover, when antimicrobials are present in the environment at low concentrations, they can accumulate in human populations via long-term exposure to drinking water, food, or consumer goods with unknown health consequences.</w:t>
      </w:r>
    </w:p>
    <w:p w14:paraId="41308689" w14:textId="77777777" w:rsidR="00C93D2B" w:rsidRPr="00C93D2B" w:rsidRDefault="00C93D2B" w:rsidP="00445CEF">
      <w:pPr>
        <w:jc w:val="both"/>
        <w:rPr>
          <w:rFonts w:asciiTheme="majorHAnsi" w:eastAsia="Calibri" w:hAnsiTheme="majorHAnsi" w:cs="Calibri"/>
        </w:rPr>
      </w:pPr>
    </w:p>
    <w:p w14:paraId="3D897D64" w14:textId="348E659A" w:rsidR="00C93D2B" w:rsidRPr="00C93D2B" w:rsidRDefault="00F24888" w:rsidP="00445CEF">
      <w:pPr>
        <w:jc w:val="center"/>
        <w:rPr>
          <w:rFonts w:asciiTheme="majorHAnsi" w:hAnsiTheme="majorHAnsi"/>
        </w:rPr>
      </w:pPr>
      <w:r>
        <w:rPr>
          <w:rFonts w:asciiTheme="majorHAnsi" w:hAnsiTheme="majorHAnsi"/>
          <w:noProof/>
        </w:rPr>
        <w:lastRenderedPageBreak/>
        <w:drawing>
          <wp:inline distT="0" distB="0" distL="0" distR="0" wp14:anchorId="55DC933F" wp14:editId="169C89A2">
            <wp:extent cx="4033409" cy="3307404"/>
            <wp:effectExtent l="0" t="0" r="5715"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R Cycle.png"/>
                    <pic:cNvPicPr/>
                  </pic:nvPicPr>
                  <pic:blipFill>
                    <a:blip r:embed="rId9"/>
                    <a:stretch>
                      <a:fillRect/>
                    </a:stretch>
                  </pic:blipFill>
                  <pic:spPr>
                    <a:xfrm>
                      <a:off x="0" y="0"/>
                      <a:ext cx="4039565" cy="3312452"/>
                    </a:xfrm>
                    <a:prstGeom prst="rect">
                      <a:avLst/>
                    </a:prstGeom>
                  </pic:spPr>
                </pic:pic>
              </a:graphicData>
            </a:graphic>
          </wp:inline>
        </w:drawing>
      </w:r>
    </w:p>
    <w:p w14:paraId="4549DD5D" w14:textId="77777777" w:rsidR="00C93D2B" w:rsidRPr="00C93D2B" w:rsidRDefault="00C93D2B" w:rsidP="00445CEF">
      <w:pPr>
        <w:jc w:val="both"/>
        <w:rPr>
          <w:rFonts w:asciiTheme="majorHAnsi" w:eastAsia="Calibri" w:hAnsiTheme="majorHAnsi" w:cs="Calibri"/>
        </w:rPr>
      </w:pPr>
    </w:p>
    <w:p w14:paraId="65F621BF" w14:textId="760BA399" w:rsidR="00F24888" w:rsidRDefault="00F24888" w:rsidP="00F24888">
      <w:r>
        <w:rPr>
          <w:rFonts w:ascii="Arial" w:hAnsi="Arial" w:cs="Arial"/>
          <w:color w:val="003B43"/>
          <w:sz w:val="15"/>
          <w:szCs w:val="15"/>
          <w:shd w:val="clear" w:color="auto" w:fill="FFFFFF"/>
        </w:rPr>
        <w:t xml:space="preserve">The on-going cycle of antibiotic resistance spread between humans, animals and the environment. </w:t>
      </w:r>
      <w:r>
        <w:rPr>
          <w:rFonts w:ascii="Arial" w:hAnsi="Arial" w:cs="Arial"/>
          <w:color w:val="003B43"/>
          <w:sz w:val="15"/>
          <w:szCs w:val="15"/>
          <w:shd w:val="clear" w:color="auto" w:fill="FFFFFF"/>
        </w:rPr>
        <w:br/>
        <w:t>Source: Centers for Disease Control and Prevention (CDC). 2013. </w:t>
      </w:r>
      <w:r>
        <w:rPr>
          <w:rStyle w:val="Emphasis"/>
          <w:rFonts w:ascii="Arial" w:hAnsi="Arial" w:cs="Arial"/>
          <w:color w:val="003B43"/>
          <w:sz w:val="15"/>
          <w:szCs w:val="15"/>
          <w:shd w:val="clear" w:color="auto" w:fill="FFFFFF"/>
        </w:rPr>
        <w:t>Antibiotic resistance threats in the United States, 2013</w:t>
      </w:r>
      <w:r>
        <w:rPr>
          <w:rFonts w:ascii="Arial" w:hAnsi="Arial" w:cs="Arial"/>
          <w:color w:val="003B43"/>
          <w:sz w:val="15"/>
          <w:szCs w:val="15"/>
          <w:shd w:val="clear" w:color="auto" w:fill="FFFFFF"/>
        </w:rPr>
        <w:t>. Atlanta, USA. Available at: </w:t>
      </w:r>
      <w:hyperlink r:id="rId10" w:tgtFrame="_blank" w:history="1">
        <w:r w:rsidR="0046098C">
          <w:rPr>
            <w:rStyle w:val="Hyperlink"/>
            <w:rFonts w:ascii="Arial" w:hAnsi="Arial" w:cs="Arial"/>
            <w:color w:val="0D6CAC"/>
            <w:sz w:val="15"/>
            <w:szCs w:val="15"/>
            <w:shd w:val="clear" w:color="auto" w:fill="FFFFFF"/>
          </w:rPr>
          <w:t>www.cdc.gov/drugresistance/threat-report-2013/pdf/ar-threats-2013-508.pdf</w:t>
        </w:r>
      </w:hyperlink>
    </w:p>
    <w:p w14:paraId="78A3735D" w14:textId="77777777" w:rsidR="00C93D2B" w:rsidRPr="00C93D2B" w:rsidRDefault="00C93D2B" w:rsidP="00445CEF">
      <w:pPr>
        <w:jc w:val="both"/>
        <w:rPr>
          <w:rFonts w:asciiTheme="majorHAnsi" w:eastAsia="Calibri" w:hAnsiTheme="majorHAnsi" w:cs="Calibri"/>
        </w:rPr>
      </w:pPr>
    </w:p>
    <w:p w14:paraId="318DAA53" w14:textId="77777777"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The sheer magnitude and complexity of the AMR crisis and antimicrobial pollution results in the need for a coordinated and integrated One Health multi-sectoral approach inclusive of the public &amp; animal health sectors, the agricultural production sectors (crops, forestry, fisheries, aquaculture &amp; livestock), and the environment &amp; ecosystem sectors.</w:t>
      </w:r>
    </w:p>
    <w:p w14:paraId="22CC0F97" w14:textId="7DA61B98"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 xml:space="preserve">At the African regional level, the Tripartite members (Food and Agriculture Organization of the United Nations - FAO, World Organisation for Animal Health - OIE, and World Health Organization - WHO), and the African Union (African Centre for Disease Control and Prevention – Africa CDC, African Union Inter-African Bureau for Animal Resources - AU-IBAR) and Regional Economic Communities (RECs) are working closely to combat AMR in a holistic continental One Health approach. </w:t>
      </w:r>
    </w:p>
    <w:p w14:paraId="687D90A6" w14:textId="77777777" w:rsidR="00C93D2B" w:rsidRPr="00C93D2B" w:rsidRDefault="00C93D2B" w:rsidP="00445CEF">
      <w:pPr>
        <w:jc w:val="both"/>
        <w:rPr>
          <w:rFonts w:asciiTheme="majorHAnsi" w:eastAsia="Calibri" w:hAnsiTheme="majorHAnsi" w:cs="Calibri"/>
        </w:rPr>
      </w:pPr>
    </w:p>
    <w:p w14:paraId="097EDABE" w14:textId="77777777" w:rsidR="00C93D2B" w:rsidRPr="00C93D2B" w:rsidRDefault="00C93D2B" w:rsidP="00445CEF">
      <w:pPr>
        <w:jc w:val="both"/>
        <w:rPr>
          <w:rFonts w:asciiTheme="majorHAnsi" w:eastAsia="Calibri" w:hAnsiTheme="majorHAnsi" w:cs="Calibri"/>
          <w:b/>
          <w:bCs/>
        </w:rPr>
      </w:pPr>
      <w:r w:rsidRPr="00C93D2B">
        <w:rPr>
          <w:rFonts w:asciiTheme="majorHAnsi" w:eastAsia="Calibri" w:hAnsiTheme="majorHAnsi" w:cs="Calibri"/>
          <w:b/>
          <w:bCs/>
        </w:rPr>
        <w:t>Communicating AMR in Africa</w:t>
      </w:r>
    </w:p>
    <w:p w14:paraId="629A580E" w14:textId="34232904"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As Africa accelerates its AMR interventions, communication has been a key priority in the agenda. The first regional World Antibiotic Awareness Week 2019 was held in Kenya, bringing all the regional AMR stakeholders together in Nairobi creating dialogue from grass-root to policy levels.</w:t>
      </w:r>
    </w:p>
    <w:p w14:paraId="43E949D5" w14:textId="77777777" w:rsidR="00C93D2B" w:rsidRPr="00C93D2B" w:rsidRDefault="00C93D2B" w:rsidP="00445CEF">
      <w:pPr>
        <w:jc w:val="both"/>
        <w:rPr>
          <w:rFonts w:asciiTheme="majorHAnsi" w:eastAsia="Calibri" w:hAnsiTheme="majorHAnsi" w:cs="Calibri"/>
        </w:rPr>
      </w:pPr>
    </w:p>
    <w:p w14:paraId="5630F14B" w14:textId="67C23FE0"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In order to better communicate the risks of excessive or inappropriate use of antimicrobials and the importance of proactive participation from all levels of stakeholders, FAO Africa is pleased to welcome you to participate in this online forum to exchange ideas and discuss how to improve AMR communications in the region. Please find the following questions for your consideration and we look forward to receiving your inputs, suggestions and ideas.</w:t>
      </w:r>
    </w:p>
    <w:p w14:paraId="221969DD" w14:textId="507F524F" w:rsidR="00C93D2B" w:rsidRDefault="00C93D2B" w:rsidP="00445CEF">
      <w:pPr>
        <w:jc w:val="both"/>
        <w:rPr>
          <w:rFonts w:asciiTheme="majorHAnsi" w:eastAsia="Calibri" w:hAnsiTheme="majorHAnsi" w:cs="Calibri"/>
        </w:rPr>
      </w:pPr>
    </w:p>
    <w:p w14:paraId="3F85816F" w14:textId="77777777" w:rsidR="00C93D2B" w:rsidRPr="00C93D2B" w:rsidRDefault="00C93D2B" w:rsidP="00445CEF">
      <w:pPr>
        <w:jc w:val="both"/>
        <w:rPr>
          <w:rFonts w:asciiTheme="majorHAnsi" w:eastAsia="Calibri" w:hAnsiTheme="majorHAnsi" w:cs="Calibri"/>
        </w:rPr>
      </w:pPr>
    </w:p>
    <w:p w14:paraId="2EA5ACC7" w14:textId="43FF15EE" w:rsidR="00C93D2B" w:rsidRPr="00C93D2B" w:rsidRDefault="00C93D2B" w:rsidP="00445CEF">
      <w:pPr>
        <w:pStyle w:val="ListParagraph"/>
        <w:numPr>
          <w:ilvl w:val="0"/>
          <w:numId w:val="3"/>
        </w:numPr>
        <w:spacing w:after="0"/>
        <w:rPr>
          <w:rFonts w:asciiTheme="majorHAnsi" w:eastAsia="Calibri" w:hAnsiTheme="majorHAnsi" w:cs="Calibri"/>
          <w:sz w:val="24"/>
          <w:szCs w:val="24"/>
        </w:rPr>
      </w:pPr>
      <w:r w:rsidRPr="00C93D2B">
        <w:rPr>
          <w:rFonts w:asciiTheme="majorHAnsi" w:eastAsia="Calibri" w:hAnsiTheme="majorHAnsi" w:cs="Calibri"/>
          <w:sz w:val="24"/>
          <w:szCs w:val="24"/>
        </w:rPr>
        <w:lastRenderedPageBreak/>
        <w:t>What is the biggest communication challenge related to AMR and inappropriate antimicrobial usage (AMU) in Africa?</w:t>
      </w:r>
    </w:p>
    <w:p w14:paraId="24E222AA" w14:textId="2BF932B7" w:rsidR="00C93D2B" w:rsidRPr="00C93D2B" w:rsidRDefault="00C93D2B" w:rsidP="00445CEF">
      <w:pPr>
        <w:pStyle w:val="ListParagraph"/>
        <w:numPr>
          <w:ilvl w:val="0"/>
          <w:numId w:val="3"/>
        </w:numPr>
        <w:spacing w:after="0"/>
        <w:rPr>
          <w:rFonts w:asciiTheme="majorHAnsi" w:eastAsia="Calibri" w:hAnsiTheme="majorHAnsi" w:cs="Calibri"/>
          <w:sz w:val="24"/>
          <w:szCs w:val="24"/>
        </w:rPr>
      </w:pPr>
      <w:r w:rsidRPr="00C93D2B">
        <w:rPr>
          <w:rFonts w:asciiTheme="majorHAnsi" w:eastAsia="Calibri" w:hAnsiTheme="majorHAnsi" w:cs="Calibri"/>
          <w:sz w:val="24"/>
          <w:szCs w:val="24"/>
        </w:rPr>
        <w:t>What is the best approach to communicate about other antimicrobials (antifungal, antiparasitic, antiviral, pesticides), and not only antibiotics? As viruses, fungi and parasites can also be resistant to medicines commonly used to treat them, and impacting health and food systems, how do we communicate about these issues in addition to antibiotic resistant bacteria?</w:t>
      </w:r>
    </w:p>
    <w:p w14:paraId="12589B78" w14:textId="121B5580" w:rsidR="00C93D2B" w:rsidRPr="00C93D2B" w:rsidRDefault="00C93D2B" w:rsidP="00445CEF">
      <w:pPr>
        <w:pStyle w:val="ListParagraph"/>
        <w:numPr>
          <w:ilvl w:val="0"/>
          <w:numId w:val="3"/>
        </w:numPr>
        <w:spacing w:after="0"/>
        <w:rPr>
          <w:rFonts w:asciiTheme="majorHAnsi" w:eastAsia="Calibri" w:hAnsiTheme="majorHAnsi" w:cs="Calibri"/>
          <w:sz w:val="24"/>
          <w:szCs w:val="24"/>
        </w:rPr>
      </w:pPr>
      <w:r w:rsidRPr="00C93D2B">
        <w:rPr>
          <w:rFonts w:asciiTheme="majorHAnsi" w:eastAsia="Calibri" w:hAnsiTheme="majorHAnsi" w:cs="Calibri"/>
          <w:sz w:val="24"/>
          <w:szCs w:val="24"/>
        </w:rPr>
        <w:t>How can we get the topic of AMR included more often in the media? How do we ensure the visibility of AMR amongst other “hot topics”?</w:t>
      </w:r>
    </w:p>
    <w:p w14:paraId="6C50F78C" w14:textId="3DABB9C3" w:rsidR="00C93D2B" w:rsidRPr="00C93D2B" w:rsidRDefault="00C93D2B" w:rsidP="00445CEF">
      <w:pPr>
        <w:pStyle w:val="ListParagraph"/>
        <w:numPr>
          <w:ilvl w:val="0"/>
          <w:numId w:val="3"/>
        </w:numPr>
        <w:spacing w:after="0"/>
        <w:rPr>
          <w:rFonts w:asciiTheme="majorHAnsi" w:eastAsia="Calibri" w:hAnsiTheme="majorHAnsi" w:cs="Calibri"/>
          <w:sz w:val="24"/>
          <w:szCs w:val="24"/>
        </w:rPr>
      </w:pPr>
      <w:r w:rsidRPr="00C93D2B">
        <w:rPr>
          <w:rFonts w:asciiTheme="majorHAnsi" w:eastAsia="Calibri" w:hAnsiTheme="majorHAnsi" w:cs="Calibri"/>
          <w:sz w:val="24"/>
          <w:szCs w:val="24"/>
        </w:rPr>
        <w:t>What communication channels, methods or mechanisms are more suitable and will have the greatest impact at field level in African countries?</w:t>
      </w:r>
    </w:p>
    <w:p w14:paraId="7935B576" w14:textId="00023267" w:rsidR="00C93D2B" w:rsidRPr="00C93D2B" w:rsidRDefault="00C93D2B" w:rsidP="00445CEF">
      <w:pPr>
        <w:pStyle w:val="ListParagraph"/>
        <w:numPr>
          <w:ilvl w:val="0"/>
          <w:numId w:val="3"/>
        </w:numPr>
        <w:spacing w:after="0"/>
        <w:rPr>
          <w:rFonts w:asciiTheme="majorHAnsi" w:eastAsia="Calibri" w:hAnsiTheme="majorHAnsi" w:cs="Calibri"/>
          <w:sz w:val="24"/>
          <w:szCs w:val="24"/>
        </w:rPr>
      </w:pPr>
      <w:r w:rsidRPr="00C93D2B">
        <w:rPr>
          <w:rFonts w:asciiTheme="majorHAnsi" w:eastAsia="Calibri" w:hAnsiTheme="majorHAnsi" w:cs="Calibri"/>
          <w:sz w:val="24"/>
          <w:szCs w:val="24"/>
        </w:rPr>
        <w:t>Which group of stakeholders do you think should be considered as priority for targeted key messages aiming at raising awareness on excessive AMU and AMR?</w:t>
      </w:r>
    </w:p>
    <w:p w14:paraId="1C7F5699" w14:textId="6F54549C" w:rsidR="00C93D2B" w:rsidRPr="00C93D2B" w:rsidRDefault="00C93D2B" w:rsidP="00445CEF">
      <w:pPr>
        <w:pStyle w:val="ListParagraph"/>
        <w:numPr>
          <w:ilvl w:val="0"/>
          <w:numId w:val="3"/>
        </w:numPr>
        <w:spacing w:after="0"/>
        <w:rPr>
          <w:rFonts w:asciiTheme="majorHAnsi" w:eastAsia="Calibri" w:hAnsiTheme="majorHAnsi" w:cs="Calibri"/>
          <w:sz w:val="24"/>
          <w:szCs w:val="24"/>
        </w:rPr>
      </w:pPr>
      <w:r w:rsidRPr="00C93D2B">
        <w:rPr>
          <w:rFonts w:asciiTheme="majorHAnsi" w:eastAsia="Calibri" w:hAnsiTheme="majorHAnsi" w:cs="Calibri"/>
          <w:sz w:val="24"/>
          <w:szCs w:val="24"/>
        </w:rPr>
        <w:t>At national, regional and continental levels, who to do think should take leadership and responsibility for awareness and advocacy activities on AMU and AMR</w:t>
      </w:r>
    </w:p>
    <w:p w14:paraId="5C29E041" w14:textId="77777777" w:rsidR="00C93D2B" w:rsidRPr="00C93D2B" w:rsidRDefault="00C93D2B" w:rsidP="00445CEF">
      <w:pPr>
        <w:jc w:val="both"/>
        <w:rPr>
          <w:rFonts w:asciiTheme="majorHAnsi" w:eastAsia="Calibri" w:hAnsiTheme="majorHAnsi" w:cs="Calibri"/>
        </w:rPr>
      </w:pPr>
    </w:p>
    <w:p w14:paraId="4D8D120D" w14:textId="77777777"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 xml:space="preserve">Outcomes of this discussion will help provide insights to the Africa AMR Communications and Advocacy Strategy that is currently under development by the Regional Tripartite (FAO, OIE, WHO) and the African Union (Africa CDC and AU-IBAR). </w:t>
      </w:r>
    </w:p>
    <w:p w14:paraId="37FA60E7" w14:textId="77777777" w:rsidR="00C93D2B" w:rsidRPr="00C93D2B" w:rsidRDefault="00C93D2B" w:rsidP="00445CEF">
      <w:pPr>
        <w:jc w:val="both"/>
        <w:rPr>
          <w:rFonts w:asciiTheme="majorHAnsi" w:eastAsia="Calibri" w:hAnsiTheme="majorHAnsi" w:cs="Calibri"/>
        </w:rPr>
      </w:pPr>
      <w:r w:rsidRPr="00C93D2B">
        <w:rPr>
          <w:rFonts w:asciiTheme="majorHAnsi" w:eastAsia="Calibri" w:hAnsiTheme="majorHAnsi" w:cs="Calibri"/>
        </w:rPr>
        <w:t xml:space="preserve">We thank you for your valuable contributions and we look forward to incorporating your voices into the regional AMR communication strategy. </w:t>
      </w:r>
    </w:p>
    <w:p w14:paraId="1B645224" w14:textId="77777777" w:rsidR="00C93D2B" w:rsidRPr="00C93D2B" w:rsidRDefault="00C93D2B" w:rsidP="00445CEF">
      <w:pPr>
        <w:jc w:val="both"/>
        <w:rPr>
          <w:rFonts w:asciiTheme="majorHAnsi" w:eastAsia="Calibri" w:hAnsiTheme="majorHAnsi" w:cs="Calibri"/>
          <w:i/>
          <w:iCs/>
        </w:rPr>
      </w:pPr>
    </w:p>
    <w:p w14:paraId="72AFE8D8" w14:textId="77777777" w:rsidR="00C93D2B" w:rsidRPr="00C93D2B" w:rsidRDefault="00C93D2B" w:rsidP="00445CEF">
      <w:pPr>
        <w:jc w:val="both"/>
        <w:rPr>
          <w:rFonts w:asciiTheme="majorHAnsi" w:eastAsia="Calibri" w:hAnsiTheme="majorHAnsi" w:cs="Calibri"/>
          <w:i/>
          <w:iCs/>
        </w:rPr>
      </w:pPr>
      <w:r w:rsidRPr="00C93D2B">
        <w:rPr>
          <w:rFonts w:asciiTheme="majorHAnsi" w:eastAsia="Calibri" w:hAnsiTheme="majorHAnsi" w:cs="Calibri"/>
          <w:i/>
          <w:iCs/>
        </w:rPr>
        <w:t>Scott Newman</w:t>
      </w:r>
    </w:p>
    <w:p w14:paraId="6184A865" w14:textId="77777777" w:rsidR="00C93D2B" w:rsidRPr="00C93D2B" w:rsidRDefault="00C93D2B" w:rsidP="00445CEF">
      <w:pPr>
        <w:jc w:val="both"/>
        <w:rPr>
          <w:rFonts w:asciiTheme="majorHAnsi" w:eastAsia="Calibri" w:hAnsiTheme="majorHAnsi" w:cs="Calibri"/>
          <w:i/>
          <w:iCs/>
        </w:rPr>
      </w:pPr>
      <w:r w:rsidRPr="00C93D2B">
        <w:rPr>
          <w:rFonts w:asciiTheme="majorHAnsi" w:eastAsia="Calibri" w:hAnsiTheme="majorHAnsi" w:cs="Calibri"/>
          <w:i/>
          <w:iCs/>
        </w:rPr>
        <w:t>Senior Animal Health and Production Officer and</w:t>
      </w:r>
    </w:p>
    <w:p w14:paraId="393D0355" w14:textId="77777777" w:rsidR="00C93D2B" w:rsidRPr="00C93D2B" w:rsidRDefault="00C93D2B" w:rsidP="00445CEF">
      <w:pPr>
        <w:jc w:val="both"/>
        <w:rPr>
          <w:rFonts w:asciiTheme="majorHAnsi" w:eastAsia="Calibri" w:hAnsiTheme="majorHAnsi" w:cs="Calibri"/>
          <w:i/>
          <w:iCs/>
        </w:rPr>
      </w:pPr>
      <w:r w:rsidRPr="00C93D2B">
        <w:rPr>
          <w:rFonts w:asciiTheme="majorHAnsi" w:eastAsia="Calibri" w:hAnsiTheme="majorHAnsi" w:cs="Calibri"/>
          <w:i/>
          <w:iCs/>
        </w:rPr>
        <w:t xml:space="preserve">FAO Secretariat to the Africa Tripartite One Health Regional Coordination Group </w:t>
      </w:r>
    </w:p>
    <w:p w14:paraId="02332511" w14:textId="74B5A925" w:rsidR="00B8501C" w:rsidRPr="00C93D2B" w:rsidRDefault="00C93D2B" w:rsidP="00445CEF">
      <w:pPr>
        <w:jc w:val="both"/>
        <w:rPr>
          <w:rFonts w:asciiTheme="majorHAnsi" w:eastAsia="Calibri" w:hAnsiTheme="majorHAnsi" w:cs="Calibri"/>
          <w:i/>
          <w:iCs/>
        </w:rPr>
      </w:pPr>
      <w:r w:rsidRPr="00C93D2B">
        <w:rPr>
          <w:rFonts w:asciiTheme="majorHAnsi" w:eastAsia="Calibri" w:hAnsiTheme="majorHAnsi" w:cs="Calibri"/>
          <w:i/>
          <w:iCs/>
        </w:rPr>
        <w:t>FAO Regional Office for Africa</w:t>
      </w:r>
    </w:p>
    <w:sectPr w:rsidR="00B8501C" w:rsidRPr="00C93D2B"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1DDD" w14:textId="77777777" w:rsidR="003E5133" w:rsidRDefault="003E5133" w:rsidP="00D079C6">
      <w:r>
        <w:separator/>
      </w:r>
    </w:p>
    <w:p w14:paraId="539C9E1F" w14:textId="77777777" w:rsidR="003E5133" w:rsidRDefault="003E5133"/>
  </w:endnote>
  <w:endnote w:type="continuationSeparator" w:id="0">
    <w:p w14:paraId="325CA2B0" w14:textId="77777777" w:rsidR="003E5133" w:rsidRDefault="003E5133" w:rsidP="00D079C6">
      <w:r>
        <w:continuationSeparator/>
      </w:r>
    </w:p>
    <w:p w14:paraId="26D9FFB3" w14:textId="77777777" w:rsidR="003E5133" w:rsidRDefault="003E5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CFAE" w14:textId="77777777" w:rsidR="003E5133" w:rsidRDefault="003E5133" w:rsidP="00D079C6">
      <w:r>
        <w:separator/>
      </w:r>
    </w:p>
    <w:p w14:paraId="338D31CF" w14:textId="77777777" w:rsidR="003E5133" w:rsidRDefault="003E5133"/>
  </w:footnote>
  <w:footnote w:type="continuationSeparator" w:id="0">
    <w:p w14:paraId="422F582B" w14:textId="77777777" w:rsidR="003E5133" w:rsidRDefault="003E5133" w:rsidP="00D079C6">
      <w:r>
        <w:continuationSeparator/>
      </w:r>
    </w:p>
    <w:p w14:paraId="2D5643E9" w14:textId="77777777" w:rsidR="003E5133" w:rsidRDefault="003E5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7D17CF85" w:rsidR="00523E6B" w:rsidRPr="00724EBD" w:rsidRDefault="00C93D2B" w:rsidP="00B663C4">
          <w:pPr>
            <w:pStyle w:val="Heading2"/>
            <w:jc w:val="both"/>
          </w:pPr>
          <w:r w:rsidRPr="00C93D2B">
            <w:rPr>
              <w:rFonts w:cs="Times New Roman"/>
              <w:bCs w:val="0"/>
              <w:noProof w:val="0"/>
              <w:color w:val="31849B"/>
              <w:sz w:val="20"/>
              <w:szCs w:val="20"/>
              <w:lang w:val="en-US" w:eastAsia="en-US"/>
            </w:rPr>
            <w:t>Improving communications for Antimicrobial Resistance (AMR) in Africa. How should we move forward?</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5244E339" w14:textId="347A16E5" w:rsidR="00EC6E4F" w:rsidRDefault="00174074" w:rsidP="00EC6E4F">
          <w:pPr>
            <w:jc w:val="center"/>
          </w:pPr>
          <w:r w:rsidRPr="00174074">
            <w:rPr>
              <w:rFonts w:asciiTheme="majorHAnsi" w:hAnsiTheme="majorHAnsi"/>
              <w:b/>
            </w:rPr>
            <w:t>0</w:t>
          </w:r>
          <w:r w:rsidR="00C93D2B">
            <w:rPr>
              <w:rFonts w:asciiTheme="majorHAnsi" w:hAnsiTheme="majorHAnsi"/>
              <w:b/>
            </w:rPr>
            <w:t>2</w:t>
          </w:r>
          <w:r w:rsidR="00F32976" w:rsidRPr="00174074">
            <w:rPr>
              <w:rFonts w:asciiTheme="majorHAnsi" w:hAnsiTheme="majorHAnsi"/>
              <w:b/>
            </w:rPr>
            <w:t>.</w:t>
          </w:r>
          <w:r w:rsidR="00D96C88" w:rsidRPr="00174074">
            <w:rPr>
              <w:rFonts w:asciiTheme="majorHAnsi" w:hAnsiTheme="majorHAnsi"/>
              <w:b/>
            </w:rPr>
            <w:t>0</w:t>
          </w:r>
          <w:r w:rsidR="00C93D2B">
            <w:rPr>
              <w:rFonts w:asciiTheme="majorHAnsi" w:hAnsiTheme="majorHAnsi"/>
              <w:b/>
            </w:rPr>
            <w:t>6</w:t>
          </w:r>
          <w:r w:rsidR="00F32976" w:rsidRPr="00174074">
            <w:rPr>
              <w:rFonts w:asciiTheme="majorHAnsi" w:hAnsiTheme="majorHAnsi"/>
              <w:b/>
            </w:rPr>
            <w:t>.20</w:t>
          </w:r>
          <w:r w:rsidR="00D96C88" w:rsidRPr="00174074">
            <w:rPr>
              <w:rFonts w:asciiTheme="majorHAnsi" w:hAnsiTheme="majorHAnsi"/>
              <w:b/>
            </w:rPr>
            <w:t>20</w:t>
          </w:r>
          <w:r w:rsidR="00F32976" w:rsidRPr="00174074">
            <w:rPr>
              <w:rFonts w:asciiTheme="majorHAnsi" w:hAnsiTheme="majorHAnsi"/>
              <w:b/>
            </w:rPr>
            <w:t xml:space="preserve"> – </w:t>
          </w:r>
          <w:r w:rsidRPr="00174074">
            <w:rPr>
              <w:rFonts w:asciiTheme="majorHAnsi" w:hAnsiTheme="majorHAnsi"/>
              <w:b/>
            </w:rPr>
            <w:t>2</w:t>
          </w:r>
          <w:r w:rsidR="00C93D2B">
            <w:rPr>
              <w:rFonts w:asciiTheme="majorHAnsi" w:hAnsiTheme="majorHAnsi"/>
              <w:b/>
            </w:rPr>
            <w:t>3</w:t>
          </w:r>
          <w:r w:rsidR="00F32976" w:rsidRPr="00174074">
            <w:rPr>
              <w:rFonts w:asciiTheme="majorHAnsi" w:hAnsiTheme="majorHAnsi"/>
              <w:b/>
            </w:rPr>
            <w:t>.</w:t>
          </w:r>
          <w:r w:rsidR="00D96C88" w:rsidRPr="00174074">
            <w:rPr>
              <w:rFonts w:asciiTheme="majorHAnsi" w:hAnsiTheme="majorHAnsi"/>
              <w:b/>
            </w:rPr>
            <w:t>0</w:t>
          </w:r>
          <w:r w:rsidR="00C93D2B">
            <w:rPr>
              <w:rFonts w:asciiTheme="majorHAnsi" w:hAnsiTheme="majorHAnsi"/>
              <w:b/>
            </w:rPr>
            <w:t>6</w:t>
          </w:r>
          <w:r w:rsidR="00574BA9" w:rsidRPr="00174074">
            <w:rPr>
              <w:rFonts w:asciiTheme="majorHAnsi" w:hAnsiTheme="majorHAnsi"/>
              <w:b/>
            </w:rPr>
            <w:t>.20</w:t>
          </w:r>
          <w:r w:rsidR="00D96C88" w:rsidRPr="00174074">
            <w:rPr>
              <w:rFonts w:asciiTheme="majorHAnsi" w:hAnsiTheme="majorHAnsi"/>
              <w:b/>
            </w:rPr>
            <w:t>20</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C93D2B">
              <w:rPr>
                <w:rStyle w:val="Hyperlink"/>
              </w:rPr>
              <w:t>www.fao.org/fsnforum/activities/discussions/AMR</w:t>
            </w:r>
          </w:hyperlink>
        </w:p>
        <w:p w14:paraId="3C3F01CD" w14:textId="37CDEEF4" w:rsidR="00523E6B" w:rsidRPr="00135B0D" w:rsidRDefault="00523E6B" w:rsidP="00EC6E4F">
          <w:pPr>
            <w:spacing w:line="276" w:lineRule="auto"/>
            <w:jc w:val="center"/>
            <w:rPr>
              <w:rFonts w:asciiTheme="majorHAnsi" w:hAnsiTheme="majorHAnsi"/>
              <w:b/>
              <w:color w:val="31849B" w:themeColor="accent5" w:themeShade="BF"/>
            </w:rPr>
          </w:pP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13E31F9"/>
    <w:multiLevelType w:val="hybridMultilevel"/>
    <w:tmpl w:val="A2D8A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26FB7"/>
    <w:multiLevelType w:val="hybridMultilevel"/>
    <w:tmpl w:val="42F891F8"/>
    <w:lvl w:ilvl="0" w:tplc="58983B38">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PE"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46CB"/>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5E0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074"/>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7A3"/>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7141C"/>
    <w:rsid w:val="00281A02"/>
    <w:rsid w:val="0028356E"/>
    <w:rsid w:val="00284599"/>
    <w:rsid w:val="0028571D"/>
    <w:rsid w:val="002879D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B0A37"/>
    <w:rsid w:val="003C0174"/>
    <w:rsid w:val="003C60A8"/>
    <w:rsid w:val="003C7A1B"/>
    <w:rsid w:val="003D01FA"/>
    <w:rsid w:val="003D18D6"/>
    <w:rsid w:val="003D25A7"/>
    <w:rsid w:val="003D6FC2"/>
    <w:rsid w:val="003E1E02"/>
    <w:rsid w:val="003E5133"/>
    <w:rsid w:val="003E7A41"/>
    <w:rsid w:val="003F1596"/>
    <w:rsid w:val="003F2437"/>
    <w:rsid w:val="003F41C0"/>
    <w:rsid w:val="004001EC"/>
    <w:rsid w:val="00402F5C"/>
    <w:rsid w:val="00413C59"/>
    <w:rsid w:val="00415E47"/>
    <w:rsid w:val="004310AF"/>
    <w:rsid w:val="004339ED"/>
    <w:rsid w:val="00434855"/>
    <w:rsid w:val="0043646E"/>
    <w:rsid w:val="00440F26"/>
    <w:rsid w:val="00441081"/>
    <w:rsid w:val="00442895"/>
    <w:rsid w:val="00443C29"/>
    <w:rsid w:val="00445CEF"/>
    <w:rsid w:val="00446C71"/>
    <w:rsid w:val="00450A16"/>
    <w:rsid w:val="004533BC"/>
    <w:rsid w:val="00453970"/>
    <w:rsid w:val="00454130"/>
    <w:rsid w:val="00454AD6"/>
    <w:rsid w:val="00454FC9"/>
    <w:rsid w:val="0045705D"/>
    <w:rsid w:val="0046098C"/>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A782F"/>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1796A"/>
    <w:rsid w:val="00721222"/>
    <w:rsid w:val="00721603"/>
    <w:rsid w:val="00724726"/>
    <w:rsid w:val="00724EBD"/>
    <w:rsid w:val="00732073"/>
    <w:rsid w:val="00732662"/>
    <w:rsid w:val="00735512"/>
    <w:rsid w:val="00736BFE"/>
    <w:rsid w:val="00741A1E"/>
    <w:rsid w:val="00744A84"/>
    <w:rsid w:val="00745E70"/>
    <w:rsid w:val="00747799"/>
    <w:rsid w:val="007527DA"/>
    <w:rsid w:val="00753433"/>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0AE"/>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D540B"/>
    <w:rsid w:val="009E1E0A"/>
    <w:rsid w:val="009E3CB3"/>
    <w:rsid w:val="009E4B15"/>
    <w:rsid w:val="009E5D98"/>
    <w:rsid w:val="009E626C"/>
    <w:rsid w:val="009F1C1F"/>
    <w:rsid w:val="009F323F"/>
    <w:rsid w:val="009F3520"/>
    <w:rsid w:val="00A04281"/>
    <w:rsid w:val="00A057BA"/>
    <w:rsid w:val="00A07BA9"/>
    <w:rsid w:val="00A105E4"/>
    <w:rsid w:val="00A13A32"/>
    <w:rsid w:val="00A14DBF"/>
    <w:rsid w:val="00A1574A"/>
    <w:rsid w:val="00A15D0E"/>
    <w:rsid w:val="00A17476"/>
    <w:rsid w:val="00A26B4F"/>
    <w:rsid w:val="00A2720E"/>
    <w:rsid w:val="00A30324"/>
    <w:rsid w:val="00A30E12"/>
    <w:rsid w:val="00A3478C"/>
    <w:rsid w:val="00A4253D"/>
    <w:rsid w:val="00A45E8D"/>
    <w:rsid w:val="00A462C5"/>
    <w:rsid w:val="00A50B57"/>
    <w:rsid w:val="00A526FE"/>
    <w:rsid w:val="00A53E98"/>
    <w:rsid w:val="00A600FB"/>
    <w:rsid w:val="00A62A30"/>
    <w:rsid w:val="00A65618"/>
    <w:rsid w:val="00A6607D"/>
    <w:rsid w:val="00A675E8"/>
    <w:rsid w:val="00A72480"/>
    <w:rsid w:val="00A73368"/>
    <w:rsid w:val="00A83C07"/>
    <w:rsid w:val="00A83DBE"/>
    <w:rsid w:val="00A86FB2"/>
    <w:rsid w:val="00A92376"/>
    <w:rsid w:val="00AB3CD0"/>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147"/>
    <w:rsid w:val="00B54A9F"/>
    <w:rsid w:val="00B5656E"/>
    <w:rsid w:val="00B571E7"/>
    <w:rsid w:val="00B57942"/>
    <w:rsid w:val="00B6035D"/>
    <w:rsid w:val="00B61CC2"/>
    <w:rsid w:val="00B663C4"/>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5639"/>
    <w:rsid w:val="00BE73FA"/>
    <w:rsid w:val="00BF115F"/>
    <w:rsid w:val="00BF409B"/>
    <w:rsid w:val="00BF7416"/>
    <w:rsid w:val="00C0062B"/>
    <w:rsid w:val="00C06EA3"/>
    <w:rsid w:val="00C1588C"/>
    <w:rsid w:val="00C1609F"/>
    <w:rsid w:val="00C17DF4"/>
    <w:rsid w:val="00C20BB0"/>
    <w:rsid w:val="00C21CB6"/>
    <w:rsid w:val="00C2341B"/>
    <w:rsid w:val="00C23F1E"/>
    <w:rsid w:val="00C3104C"/>
    <w:rsid w:val="00C36725"/>
    <w:rsid w:val="00C36EFA"/>
    <w:rsid w:val="00C412EE"/>
    <w:rsid w:val="00C446DA"/>
    <w:rsid w:val="00C554B4"/>
    <w:rsid w:val="00C61290"/>
    <w:rsid w:val="00C62B54"/>
    <w:rsid w:val="00C66DCB"/>
    <w:rsid w:val="00C6707F"/>
    <w:rsid w:val="00C67151"/>
    <w:rsid w:val="00C70BAF"/>
    <w:rsid w:val="00C75B22"/>
    <w:rsid w:val="00C80904"/>
    <w:rsid w:val="00C82EC2"/>
    <w:rsid w:val="00C851E8"/>
    <w:rsid w:val="00C8594E"/>
    <w:rsid w:val="00C85ABC"/>
    <w:rsid w:val="00C90F25"/>
    <w:rsid w:val="00C9156C"/>
    <w:rsid w:val="00C92932"/>
    <w:rsid w:val="00C93D2B"/>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0DE6"/>
    <w:rsid w:val="00D734AF"/>
    <w:rsid w:val="00D804F4"/>
    <w:rsid w:val="00D80B4D"/>
    <w:rsid w:val="00D81E04"/>
    <w:rsid w:val="00D828DB"/>
    <w:rsid w:val="00D82BB8"/>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E4F"/>
    <w:rsid w:val="00ED3DC7"/>
    <w:rsid w:val="00ED481D"/>
    <w:rsid w:val="00ED706E"/>
    <w:rsid w:val="00EF2A0A"/>
    <w:rsid w:val="00EF2A44"/>
    <w:rsid w:val="00EF404C"/>
    <w:rsid w:val="00EF6D5B"/>
    <w:rsid w:val="00F02160"/>
    <w:rsid w:val="00F0262F"/>
    <w:rsid w:val="00F10080"/>
    <w:rsid w:val="00F13551"/>
    <w:rsid w:val="00F13E43"/>
    <w:rsid w:val="00F2254B"/>
    <w:rsid w:val="00F24888"/>
    <w:rsid w:val="00F25E6E"/>
    <w:rsid w:val="00F31846"/>
    <w:rsid w:val="00F32976"/>
    <w:rsid w:val="00F34653"/>
    <w:rsid w:val="00F374FF"/>
    <w:rsid w:val="00F37A93"/>
    <w:rsid w:val="00F4087E"/>
    <w:rsid w:val="00F45BE8"/>
    <w:rsid w:val="00F47812"/>
    <w:rsid w:val="00F523AA"/>
    <w:rsid w:val="00F6084C"/>
    <w:rsid w:val="00F62301"/>
    <w:rsid w:val="00F6282D"/>
    <w:rsid w:val="00F62D5A"/>
    <w:rsid w:val="00F6439A"/>
    <w:rsid w:val="00F6526F"/>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053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2B"/>
    <w:rPr>
      <w:rFonts w:ascii="Times New Roman" w:eastAsia="Times New Roman" w:hAnsi="Times New Roman"/>
      <w:sz w:val="24"/>
      <w:szCs w:val="24"/>
      <w:lang w:val="en-IT" w:eastAsia="en-GB"/>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spacing w:after="120"/>
      <w:outlineLvl w:val="1"/>
    </w:pPr>
    <w:rPr>
      <w:rFonts w:ascii="Cambria" w:hAnsi="Cambria"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ind w:left="142"/>
      <w:jc w:val="both"/>
    </w:pPr>
    <w:rPr>
      <w:rFonts w:ascii="Cambria" w:hAnsi="Cambria"/>
      <w:sz w:val="22"/>
      <w:szCs w:val="22"/>
      <w:lang w:val="en-US" w:eastAsia="en-US"/>
    </w:r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jc w:val="both"/>
    </w:pPr>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jc w:val="both"/>
    </w:pPr>
    <w:rPr>
      <w:rFonts w:ascii="Cambria" w:hAnsi="Cambria"/>
      <w:sz w:val="22"/>
      <w:szCs w:val="22"/>
      <w:lang w:val="en-US" w:eastAsia="en-US"/>
    </w:r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jc w:val="both"/>
    </w:pPr>
    <w:rPr>
      <w:rFonts w:ascii="Cambria" w:hAnsi="Cambria"/>
      <w:sz w:val="22"/>
      <w:szCs w:val="22"/>
      <w:lang w:val="en-US" w:eastAsia="en-US"/>
    </w:r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jc w:val="both"/>
    </w:pPr>
    <w:rPr>
      <w:rFonts w:ascii="Arial" w:eastAsia="Calibri" w:hAnsi="Arial"/>
      <w:sz w:val="22"/>
      <w:lang w:val="en-GB" w:eastAsia="en-US"/>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jc w:val="both"/>
    </w:pPr>
    <w:rPr>
      <w:sz w:val="20"/>
      <w:szCs w:val="20"/>
      <w:lang w:val="en-GB" w:eastAsia="en-US"/>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jc w:val="both"/>
    </w:pPr>
    <w:rPr>
      <w:rFonts w:eastAsia="Calibri"/>
      <w:color w:val="222222"/>
      <w:sz w:val="18"/>
      <w:szCs w:val="18"/>
      <w:lang w:val="en-US" w:eastAsia="en-US"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after="120"/>
      <w:jc w:val="both"/>
    </w:pPr>
    <w:rPr>
      <w:rFonts w:ascii="Cambria" w:eastAsia="Calibri" w:hAnsi="Cambria" w:cs="Calibri"/>
      <w:sz w:val="20"/>
      <w:szCs w:val="20"/>
      <w:lang w:val="ru-RU" w:eastAsia="en-US"/>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jc w:val="both"/>
    </w:pPr>
    <w:rPr>
      <w:color w:val="222222"/>
      <w:sz w:val="18"/>
      <w:szCs w:val="18"/>
      <w:lang w:val="en-US" w:eastAsia="en-US"/>
    </w:rPr>
  </w:style>
  <w:style w:type="paragraph" w:customStyle="1" w:styleId="Heading34">
    <w:name w:val="Heading 34"/>
    <w:basedOn w:val="Normal"/>
    <w:rsid w:val="006B76E6"/>
    <w:pPr>
      <w:spacing w:before="100" w:beforeAutospacing="1"/>
      <w:jc w:val="both"/>
      <w:outlineLvl w:val="3"/>
    </w:pPr>
    <w:rPr>
      <w:b/>
      <w:bCs/>
      <w:color w:val="0A5E9E"/>
      <w:sz w:val="21"/>
      <w:szCs w:val="21"/>
      <w:lang w:val="en-US" w:eastAsia="en-US"/>
    </w:rPr>
  </w:style>
  <w:style w:type="paragraph" w:customStyle="1" w:styleId="Paragrafoelenco1">
    <w:name w:val="Paragrafo elenco1"/>
    <w:basedOn w:val="Normal"/>
    <w:uiPriority w:val="34"/>
    <w:qFormat/>
    <w:rsid w:val="006B76E6"/>
    <w:pPr>
      <w:ind w:left="720"/>
      <w:contextualSpacing/>
      <w:jc w:val="both"/>
    </w:pPr>
    <w:rPr>
      <w:sz w:val="22"/>
      <w:lang w:val="en-GB" w:eastAsia="en-US"/>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jc w:val="both"/>
    </w:pPr>
    <w:rPr>
      <w:rFonts w:ascii="Cambria" w:hAnsi="Cambria"/>
      <w:sz w:val="22"/>
      <w:szCs w:val="22"/>
      <w:lang w:val="en-US" w:eastAsia="en-US"/>
    </w:rPr>
  </w:style>
  <w:style w:type="paragraph" w:styleId="TOC1">
    <w:name w:val="toc 1"/>
    <w:basedOn w:val="Normal"/>
    <w:next w:val="Normal"/>
    <w:autoRedefine/>
    <w:uiPriority w:val="39"/>
    <w:unhideWhenUsed/>
    <w:rsid w:val="008140F0"/>
    <w:pPr>
      <w:spacing w:after="100"/>
      <w:jc w:val="both"/>
    </w:pPr>
    <w:rPr>
      <w:rFonts w:ascii="Cambria" w:hAnsi="Cambria"/>
      <w:sz w:val="22"/>
      <w:szCs w:val="22"/>
      <w:lang w:val="en-US" w:eastAsia="en-US"/>
    </w:r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pPr>
      <w:spacing w:after="120"/>
      <w:jc w:val="both"/>
    </w:pPr>
    <w:rPr>
      <w:rFonts w:ascii="Cambria" w:hAnsi="Cambria"/>
      <w:i/>
      <w:iCs/>
      <w:color w:val="000000" w:themeColor="text1"/>
      <w:sz w:val="22"/>
      <w:szCs w:val="22"/>
      <w:lang w:val="en-US" w:eastAsia="en-US"/>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jc w:val="both"/>
    </w:pPr>
    <w:rPr>
      <w:sz w:val="22"/>
      <w:lang w:val="it-IT" w:eastAsia="it-IT"/>
    </w:rPr>
  </w:style>
  <w:style w:type="paragraph" w:customStyle="1" w:styleId="xmsolistparagraph">
    <w:name w:val="x_msolistparagraph"/>
    <w:basedOn w:val="Normal"/>
    <w:rsid w:val="001E6A5A"/>
    <w:pPr>
      <w:spacing w:before="100" w:beforeAutospacing="1" w:after="100" w:afterAutospacing="1"/>
      <w:jc w:val="both"/>
    </w:pPr>
    <w:rPr>
      <w:sz w:val="22"/>
      <w:lang w:val="it-IT" w:eastAsia="it-IT"/>
    </w:rPr>
  </w:style>
  <w:style w:type="paragraph" w:styleId="PlainText">
    <w:name w:val="Plain Text"/>
    <w:basedOn w:val="Normal"/>
    <w:link w:val="PlainTextChar"/>
    <w:uiPriority w:val="99"/>
    <w:unhideWhenUsed/>
    <w:rsid w:val="003759C6"/>
    <w:pPr>
      <w:jc w:val="both"/>
    </w:pPr>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after="120" w:line="276" w:lineRule="auto"/>
    </w:pPr>
    <w:rPr>
      <w:rFonts w:ascii="Cambria" w:hAnsi="Cambria"/>
      <w:i/>
      <w:sz w:val="22"/>
      <w:szCs w:val="22"/>
      <w:lang w:val="en-US" w:eastAsia="en-US"/>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rPr>
      <w:rFonts w:asciiTheme="minorHAnsi" w:eastAsiaTheme="minorEastAsia" w:hAnsiTheme="minorHAnsi" w:cstheme="minorBidi"/>
      <w:sz w:val="22"/>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pPr>
    <w:rPr>
      <w:rFonts w:ascii="Calibri" w:eastAsia="Calibri" w:hAnsi="Calibri"/>
      <w:sz w:val="22"/>
      <w:szCs w:val="22"/>
      <w:lang w:val="en-US"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C2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5604">
      <w:bodyDiv w:val="1"/>
      <w:marLeft w:val="0"/>
      <w:marRight w:val="0"/>
      <w:marTop w:val="0"/>
      <w:marBottom w:val="0"/>
      <w:divBdr>
        <w:top w:val="none" w:sz="0" w:space="0" w:color="auto"/>
        <w:left w:val="none" w:sz="0" w:space="0" w:color="auto"/>
        <w:bottom w:val="none" w:sz="0" w:space="0" w:color="auto"/>
        <w:right w:val="none" w:sz="0" w:space="0" w:color="auto"/>
      </w:divBdr>
    </w:div>
    <w:div w:id="397945994">
      <w:bodyDiv w:val="1"/>
      <w:marLeft w:val="0"/>
      <w:marRight w:val="0"/>
      <w:marTop w:val="0"/>
      <w:marBottom w:val="0"/>
      <w:divBdr>
        <w:top w:val="none" w:sz="0" w:space="0" w:color="auto"/>
        <w:left w:val="none" w:sz="0" w:space="0" w:color="auto"/>
        <w:bottom w:val="none" w:sz="0" w:space="0" w:color="auto"/>
        <w:right w:val="none" w:sz="0" w:space="0" w:color="auto"/>
      </w:divBdr>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6786729">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drugresistance/threat-report-2013/pdf/ar-threats-2013-50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discussions/A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D78C6-82E6-4A0A-AD6A-3520A2B5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743</Words>
  <Characters>4236</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4970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14</cp:revision>
  <cp:lastPrinted>2019-10-04T08:35:00Z</cp:lastPrinted>
  <dcterms:created xsi:type="dcterms:W3CDTF">2020-05-04T14:23:00Z</dcterms:created>
  <dcterms:modified xsi:type="dcterms:W3CDTF">2020-06-02T10:10:00Z</dcterms:modified>
</cp:coreProperties>
</file>