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468A" w14:textId="04164FD8" w:rsidR="00E21809" w:rsidRDefault="00E7714A" w:rsidP="00F37A93">
      <w:pPr>
        <w:pStyle w:val="PlainText"/>
        <w:rPr>
          <w:rFonts w:ascii="Cambria" w:eastAsia="Times New Roman" w:hAnsi="Cambria" w:cs="Arial"/>
          <w:b/>
          <w:bCs/>
          <w:noProof/>
          <w:color w:val="E36C0A" w:themeColor="accent6" w:themeShade="BF"/>
          <w:sz w:val="36"/>
          <w:szCs w:val="36"/>
          <w:lang w:val="en-GB" w:eastAsia="zh-CN"/>
        </w:rPr>
      </w:pPr>
      <w:r w:rsidRPr="00E7714A">
        <w:rPr>
          <w:rFonts w:ascii="Cambria" w:eastAsia="Times New Roman" w:hAnsi="Cambria" w:cs="Arial"/>
          <w:b/>
          <w:bCs/>
          <w:noProof/>
          <w:color w:val="E36C0A" w:themeColor="accent6" w:themeShade="BF"/>
          <w:sz w:val="36"/>
          <w:szCs w:val="36"/>
          <w:lang w:val="en-GB" w:eastAsia="zh-CN"/>
        </w:rPr>
        <w:t>Call for best practices in transforming food systems for affordable healthy diets and addressing key drivers of food insecurity and malnutrition</w:t>
      </w:r>
    </w:p>
    <w:p w14:paraId="5801C192" w14:textId="016A5F04" w:rsidR="000A7F0C" w:rsidRDefault="000A7F0C" w:rsidP="00F37A93">
      <w:pPr>
        <w:pStyle w:val="PlainText"/>
        <w:rPr>
          <w:rFonts w:ascii="Cambria" w:eastAsia="Times New Roman" w:hAnsi="Cambria" w:cs="Arial"/>
          <w:b/>
          <w:bCs/>
          <w:noProof/>
          <w:color w:val="E36C0A" w:themeColor="accent6" w:themeShade="BF"/>
          <w:sz w:val="36"/>
          <w:szCs w:val="36"/>
          <w:lang w:val="en-GB" w:eastAsia="zh-CN"/>
        </w:rPr>
      </w:pPr>
    </w:p>
    <w:p w14:paraId="68CBC4C3" w14:textId="6C486267" w:rsidR="000A7F0C" w:rsidRDefault="000A7F0C" w:rsidP="00F37A93">
      <w:pPr>
        <w:pStyle w:val="PlainText"/>
        <w:rPr>
          <w:rFonts w:ascii="Cambria" w:eastAsia="Times New Roman" w:hAnsi="Cambria" w:cs="Arial"/>
          <w:b/>
          <w:bCs/>
          <w:noProof/>
          <w:color w:val="E36C0A" w:themeColor="accent6" w:themeShade="BF"/>
          <w:sz w:val="36"/>
          <w:szCs w:val="36"/>
          <w:lang w:val="en-GB" w:eastAsia="zh-CN"/>
        </w:rPr>
      </w:pPr>
    </w:p>
    <w:p w14:paraId="3C115953" w14:textId="6701B535" w:rsidR="000A7F0C" w:rsidRPr="00ED1CE0" w:rsidRDefault="000A7F0C" w:rsidP="000A7F0C">
      <w:pPr>
        <w:shd w:val="clear" w:color="auto" w:fill="FFFFFF"/>
        <w:spacing w:after="150"/>
        <w:rPr>
          <w:rFonts w:cs="Arial"/>
          <w:sz w:val="22"/>
          <w:lang w:eastAsia="en-GB"/>
        </w:rPr>
      </w:pPr>
      <w:r w:rsidRPr="003360CB">
        <w:rPr>
          <w:rFonts w:ascii="Arial" w:hAnsi="Arial" w:cs="Arial"/>
          <w:b/>
          <w:noProof/>
          <w:color w:val="003B43"/>
          <w:sz w:val="20"/>
          <w:szCs w:val="20"/>
        </w:rPr>
        <w:drawing>
          <wp:anchor distT="0" distB="0" distL="114300" distR="114300" simplePos="0" relativeHeight="251659264" behindDoc="0" locked="0" layoutInCell="1" allowOverlap="1" wp14:anchorId="6B23C1D2" wp14:editId="1FEC33AF">
            <wp:simplePos x="0" y="0"/>
            <wp:positionH relativeFrom="column">
              <wp:posOffset>4547235</wp:posOffset>
            </wp:positionH>
            <wp:positionV relativeFrom="paragraph">
              <wp:posOffset>10160</wp:posOffset>
            </wp:positionV>
            <wp:extent cx="1542415" cy="2108200"/>
            <wp:effectExtent l="0" t="0" r="63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2415" cy="2108200"/>
                    </a:xfrm>
                    <a:prstGeom prst="rect">
                      <a:avLst/>
                    </a:prstGeom>
                  </pic:spPr>
                </pic:pic>
              </a:graphicData>
            </a:graphic>
            <wp14:sizeRelH relativeFrom="page">
              <wp14:pctWidth>0</wp14:pctWidth>
            </wp14:sizeRelH>
            <wp14:sizeRelV relativeFrom="page">
              <wp14:pctHeight>0</wp14:pctHeight>
            </wp14:sizeRelV>
          </wp:anchor>
        </w:drawing>
      </w:r>
      <w:r w:rsidRPr="00ED1CE0">
        <w:rPr>
          <w:rFonts w:cs="Arial"/>
          <w:sz w:val="22"/>
          <w:lang w:eastAsia="en-GB"/>
        </w:rPr>
        <w:t>The inter-Agency writing team</w:t>
      </w:r>
      <w:r w:rsidRPr="00ED1CE0">
        <w:rPr>
          <w:rStyle w:val="FootnoteReference"/>
          <w:rFonts w:cs="Arial"/>
          <w:sz w:val="22"/>
          <w:lang w:eastAsia="en-GB"/>
        </w:rPr>
        <w:footnoteReference w:id="1"/>
      </w:r>
      <w:r w:rsidRPr="00ED1CE0">
        <w:rPr>
          <w:rFonts w:cs="Arial"/>
          <w:sz w:val="22"/>
          <w:lang w:eastAsia="en-GB"/>
        </w:rPr>
        <w:t xml:space="preserve"> of the 2021 edition of </w:t>
      </w:r>
      <w:hyperlink r:id="rId9" w:history="1">
        <w:r w:rsidRPr="00ED1CE0">
          <w:rPr>
            <w:rStyle w:val="Hyperlink"/>
            <w:rFonts w:cs="Arial"/>
            <w:sz w:val="22"/>
            <w:lang w:eastAsia="en-GB"/>
          </w:rPr>
          <w:t>The State of Food Security and Nutrition in the World (SOFI)</w:t>
        </w:r>
      </w:hyperlink>
      <w:r w:rsidRPr="00ED1CE0">
        <w:rPr>
          <w:rFonts w:cs="Arial"/>
          <w:color w:val="003B43"/>
          <w:sz w:val="22"/>
          <w:lang w:eastAsia="en-GB"/>
        </w:rPr>
        <w:t xml:space="preserve"> </w:t>
      </w:r>
      <w:r w:rsidRPr="00ED1CE0">
        <w:rPr>
          <w:rFonts w:cs="Arial"/>
          <w:sz w:val="22"/>
          <w:lang w:eastAsia="en-GB"/>
        </w:rPr>
        <w:t>invites you to share best practices and lessons learned in what it takes – in very practical and innovative ways – to transform food systems for better access to nutritious foods and affordable healthy diets.</w:t>
      </w:r>
    </w:p>
    <w:p w14:paraId="009CA12B" w14:textId="79FF630C" w:rsidR="000A7F0C" w:rsidRPr="00ED1CE0" w:rsidRDefault="000A7F0C" w:rsidP="000A7F0C">
      <w:pPr>
        <w:shd w:val="clear" w:color="auto" w:fill="FFFFFF"/>
        <w:spacing w:after="150"/>
        <w:rPr>
          <w:rFonts w:cs="Arial"/>
          <w:sz w:val="22"/>
          <w:lang w:eastAsia="en-GB"/>
        </w:rPr>
      </w:pPr>
      <w:r w:rsidRPr="00ED1CE0">
        <w:rPr>
          <w:rFonts w:cs="Arial"/>
          <w:sz w:val="22"/>
          <w:lang w:eastAsia="en-GB"/>
        </w:rPr>
        <w:t>Past editions of the SOFI Report</w:t>
      </w:r>
      <w:r w:rsidRPr="00ED1CE0">
        <w:rPr>
          <w:rStyle w:val="FootnoteReference"/>
          <w:rFonts w:cs="Arial"/>
          <w:sz w:val="22"/>
          <w:lang w:eastAsia="en-GB"/>
        </w:rPr>
        <w:footnoteReference w:id="2"/>
      </w:r>
      <w:r w:rsidRPr="00ED1CE0">
        <w:rPr>
          <w:rFonts w:cs="Arial"/>
          <w:sz w:val="22"/>
          <w:lang w:eastAsia="en-GB"/>
        </w:rPr>
        <w:t xml:space="preserve"> have highlighted how key drivers, including </w:t>
      </w:r>
      <w:hyperlink r:id="rId10" w:history="1">
        <w:r w:rsidRPr="00ED1CE0">
          <w:rPr>
            <w:rStyle w:val="Hyperlink"/>
            <w:rFonts w:cs="Arial"/>
            <w:sz w:val="22"/>
            <w:lang w:eastAsia="en-GB"/>
          </w:rPr>
          <w:t>conflict and civil strife</w:t>
        </w:r>
      </w:hyperlink>
      <w:r w:rsidRPr="00ED1CE0">
        <w:rPr>
          <w:rFonts w:cs="Arial"/>
          <w:color w:val="003B43"/>
          <w:sz w:val="22"/>
          <w:lang w:eastAsia="en-GB"/>
        </w:rPr>
        <w:t xml:space="preserve">, </w:t>
      </w:r>
      <w:hyperlink r:id="rId11" w:history="1">
        <w:r w:rsidRPr="00ED1CE0">
          <w:rPr>
            <w:rStyle w:val="Hyperlink"/>
            <w:rFonts w:cs="Arial"/>
            <w:sz w:val="22"/>
            <w:lang w:eastAsia="en-GB"/>
          </w:rPr>
          <w:t>climate variability and extremes</w:t>
        </w:r>
      </w:hyperlink>
      <w:r w:rsidRPr="00ED1CE0">
        <w:rPr>
          <w:rFonts w:cs="Arial"/>
          <w:color w:val="003B43"/>
          <w:sz w:val="22"/>
          <w:lang w:eastAsia="en-GB"/>
        </w:rPr>
        <w:t xml:space="preserve">, </w:t>
      </w:r>
      <w:hyperlink r:id="rId12" w:history="1">
        <w:r w:rsidRPr="00ED1CE0">
          <w:rPr>
            <w:rStyle w:val="Hyperlink"/>
            <w:rFonts w:cs="Arial"/>
            <w:sz w:val="22"/>
            <w:lang w:eastAsia="en-GB"/>
          </w:rPr>
          <w:t>economic slowdowns and downturns</w:t>
        </w:r>
      </w:hyperlink>
      <w:r w:rsidRPr="00ED1CE0">
        <w:rPr>
          <w:rFonts w:cs="Arial"/>
          <w:color w:val="003B43"/>
          <w:sz w:val="22"/>
          <w:lang w:eastAsia="en-GB"/>
        </w:rPr>
        <w:t xml:space="preserve">, </w:t>
      </w:r>
      <w:hyperlink r:id="rId13" w:history="1">
        <w:r w:rsidRPr="00ED1CE0">
          <w:rPr>
            <w:rStyle w:val="Hyperlink"/>
            <w:rFonts w:cs="Arial"/>
            <w:sz w:val="22"/>
            <w:lang w:eastAsia="en-GB"/>
          </w:rPr>
          <w:t>persistent poverty and inequality</w:t>
        </w:r>
      </w:hyperlink>
      <w:r w:rsidRPr="00ED1CE0">
        <w:rPr>
          <w:rFonts w:cs="Arial"/>
          <w:sz w:val="22"/>
          <w:lang w:eastAsia="en-GB"/>
        </w:rPr>
        <w:t xml:space="preserve">, and now the </w:t>
      </w:r>
      <w:hyperlink r:id="rId14" w:history="1">
        <w:r w:rsidRPr="00ED1CE0">
          <w:rPr>
            <w:rStyle w:val="Hyperlink"/>
            <w:rFonts w:cs="Arial"/>
            <w:sz w:val="22"/>
            <w:lang w:eastAsia="en-GB"/>
          </w:rPr>
          <w:t>COVID-19 pandemic</w:t>
        </w:r>
      </w:hyperlink>
      <w:r w:rsidRPr="00ED1CE0">
        <w:rPr>
          <w:rFonts w:cs="Arial"/>
          <w:sz w:val="22"/>
          <w:lang w:eastAsia="en-GB"/>
        </w:rPr>
        <w:t xml:space="preserve">, are worsening the state of food security and nutrition in the world and preventing hundreds of millions of people from accessing nutritious foods.  </w:t>
      </w:r>
    </w:p>
    <w:p w14:paraId="13DFA433" w14:textId="77777777" w:rsidR="000A7F0C" w:rsidRPr="00ED1CE0" w:rsidRDefault="000A7F0C" w:rsidP="000A7F0C">
      <w:pPr>
        <w:shd w:val="clear" w:color="auto" w:fill="FFFFFF"/>
        <w:spacing w:after="150"/>
        <w:rPr>
          <w:rFonts w:cs="Arial"/>
          <w:color w:val="003B43"/>
          <w:sz w:val="22"/>
          <w:lang w:eastAsia="en-GB"/>
        </w:rPr>
      </w:pPr>
      <w:r w:rsidRPr="00ED1CE0">
        <w:rPr>
          <w:rFonts w:cs="Arial"/>
          <w:sz w:val="22"/>
          <w:lang w:eastAsia="en-GB"/>
        </w:rPr>
        <w:t xml:space="preserve">Latest trends speak for themselves: world hunger is increasing. Up by </w:t>
      </w:r>
      <w:r w:rsidRPr="00ED1CE0">
        <w:rPr>
          <w:rFonts w:cs="Arial"/>
          <w:sz w:val="22"/>
        </w:rPr>
        <w:t xml:space="preserve">10 </w:t>
      </w:r>
      <w:r w:rsidRPr="00ED1CE0">
        <w:rPr>
          <w:rFonts w:cs="Arial"/>
          <w:sz w:val="22"/>
          <w:lang w:eastAsia="en-GB"/>
        </w:rPr>
        <w:t>million people in 2019, and nearly 60 million in five years. The COVID-19 pandemic is accelerating this rise – adding an additional 132 million more people in 2020 based on preliminary estimates. At the same time progress in reducing child stunting and wasting is slowing, and overweight and obesity is continuing to increase in rich and poor countries alike</w:t>
      </w:r>
      <w:r w:rsidRPr="00ED1CE0">
        <w:rPr>
          <w:rFonts w:cs="Arial"/>
          <w:sz w:val="22"/>
        </w:rPr>
        <w:t xml:space="preserve">. </w:t>
      </w:r>
      <w:hyperlink r:id="rId15" w:history="1">
        <w:r w:rsidRPr="00ED1CE0">
          <w:rPr>
            <w:rStyle w:val="Hyperlink"/>
            <w:rFonts w:cs="Arial"/>
            <w:sz w:val="22"/>
            <w:lang w:eastAsia="en-GB"/>
          </w:rPr>
          <w:t>M</w:t>
        </w:r>
        <w:r w:rsidRPr="00ED1CE0" w:rsidDel="00FF5918">
          <w:rPr>
            <w:rStyle w:val="Hyperlink"/>
            <w:rFonts w:cs="Arial"/>
            <w:sz w:val="22"/>
            <w:lang w:eastAsia="en-GB"/>
          </w:rPr>
          <w:t>ore than 3 billion people in the world cannot afford a healthy diet</w:t>
        </w:r>
      </w:hyperlink>
      <w:r w:rsidRPr="00ED1CE0" w:rsidDel="00FF5918">
        <w:rPr>
          <w:rFonts w:cs="Arial"/>
          <w:color w:val="003B43"/>
          <w:sz w:val="22"/>
          <w:lang w:eastAsia="en-GB"/>
        </w:rPr>
        <w:t>.</w:t>
      </w:r>
    </w:p>
    <w:p w14:paraId="05AAE723" w14:textId="77777777" w:rsidR="000A7F0C" w:rsidRPr="00ED1CE0" w:rsidRDefault="000A7F0C" w:rsidP="000A7F0C">
      <w:pPr>
        <w:shd w:val="clear" w:color="auto" w:fill="FFFFFF"/>
        <w:spacing w:after="150"/>
        <w:rPr>
          <w:rFonts w:cs="Arial"/>
          <w:sz w:val="22"/>
          <w:lang w:eastAsia="en-GB"/>
        </w:rPr>
      </w:pPr>
      <w:r w:rsidRPr="00ED1CE0">
        <w:rPr>
          <w:rFonts w:cs="Arial"/>
          <w:sz w:val="22"/>
          <w:lang w:eastAsia="en-GB"/>
        </w:rPr>
        <w:t xml:space="preserve">In short, the world today is </w:t>
      </w:r>
      <w:r w:rsidRPr="00ED1CE0">
        <w:rPr>
          <w:rFonts w:cs="Arial"/>
          <w:sz w:val="22"/>
          <w:u w:val="single"/>
          <w:lang w:eastAsia="en-GB"/>
        </w:rPr>
        <w:t>not</w:t>
      </w:r>
      <w:r w:rsidRPr="00ED1CE0">
        <w:rPr>
          <w:rFonts w:cs="Arial"/>
          <w:sz w:val="22"/>
          <w:lang w:eastAsia="en-GB"/>
        </w:rPr>
        <w:t xml:space="preserve"> on track towards ending hunger, food insecurity and malnutrition in all its forms by 2030 (Sustainable Development Goal/SDG-2). Getting on track towards achieving SDG-2 and other SDG’s will require a move away from silo solutions towards complementary food systems </w:t>
      </w:r>
      <w:r w:rsidRPr="00ED1CE0">
        <w:rPr>
          <w:rFonts w:cs="Arial"/>
          <w:sz w:val="22"/>
          <w:lang w:eastAsia="en-GB"/>
        </w:rPr>
        <w:lastRenderedPageBreak/>
        <w:t xml:space="preserve">solutions and portfolios of policies and investments that address these global food security and nutrition challenges head on. </w:t>
      </w:r>
    </w:p>
    <w:p w14:paraId="0871E7F2" w14:textId="77777777" w:rsidR="000A7F0C" w:rsidRPr="00ED1CE0" w:rsidRDefault="000A7F0C" w:rsidP="000A7F0C">
      <w:pPr>
        <w:shd w:val="clear" w:color="auto" w:fill="FFFFFF"/>
        <w:spacing w:after="150"/>
        <w:rPr>
          <w:rFonts w:cs="Arial"/>
          <w:sz w:val="22"/>
          <w:lang w:eastAsia="en-GB"/>
        </w:rPr>
      </w:pPr>
      <w:r w:rsidRPr="00ED1CE0">
        <w:rPr>
          <w:rFonts w:cs="Arial"/>
          <w:sz w:val="22"/>
          <w:lang w:eastAsia="en-GB"/>
        </w:rPr>
        <w:t xml:space="preserve">Food systems are failing to ensure nutritious and affordable foods for healthy diets, and this is made more difficult in the face of the key drivers we mention above. On the other hand, </w:t>
      </w:r>
      <w:r w:rsidRPr="00ED1CE0">
        <w:rPr>
          <w:rFonts w:cs="Arial"/>
          <w:b/>
          <w:bCs/>
          <w:sz w:val="22"/>
          <w:lang w:eastAsia="en-GB"/>
        </w:rPr>
        <w:t>if food systems are transformed with strengthened resilience to the key drivers of food insecurity and malnutrition and are incentivized to provide affordable healthy diets sustainably and inclusively</w:t>
      </w:r>
      <w:r w:rsidRPr="00ED1CE0">
        <w:rPr>
          <w:rFonts w:cs="Arial"/>
          <w:sz w:val="22"/>
          <w:lang w:eastAsia="en-GB"/>
        </w:rPr>
        <w:t>, they can put us on track towards achieving SDG-2.</w:t>
      </w:r>
    </w:p>
    <w:p w14:paraId="14DBEFEB" w14:textId="77777777" w:rsidR="000A7F0C" w:rsidRPr="00ED1CE0" w:rsidRDefault="000A7F0C" w:rsidP="000A7F0C">
      <w:pPr>
        <w:shd w:val="clear" w:color="auto" w:fill="FFFFFF"/>
        <w:spacing w:after="150"/>
        <w:rPr>
          <w:rFonts w:cs="Arial"/>
          <w:sz w:val="22"/>
          <w:lang w:eastAsia="en-GB"/>
        </w:rPr>
      </w:pPr>
      <w:r w:rsidRPr="00ED1CE0">
        <w:rPr>
          <w:rFonts w:cs="Arial"/>
          <w:sz w:val="22"/>
          <w:lang w:eastAsia="en-GB"/>
        </w:rPr>
        <w:t>With the above in mind, we invite you to share illustrative country examples of how food systems have been (or are being) transformed with strengthened resilience to the key drivers and ensure greater access and affordability of nutritious foods and healthy diets.</w:t>
      </w:r>
      <w:bookmarkStart w:id="0" w:name="_Hlk64023067"/>
      <w:r w:rsidRPr="00ED1CE0">
        <w:rPr>
          <w:rFonts w:eastAsia="Calibri" w:cs="Arial"/>
          <w:sz w:val="22"/>
        </w:rPr>
        <w:t xml:space="preserve"> </w:t>
      </w:r>
      <w:r w:rsidRPr="00ED1CE0">
        <w:rPr>
          <w:rFonts w:cs="Arial"/>
          <w:sz w:val="22"/>
          <w:lang w:eastAsia="en-GB"/>
        </w:rPr>
        <w:t>The challenges in achieving such transformative changes</w:t>
      </w:r>
      <w:r w:rsidRPr="00ED1CE0">
        <w:rPr>
          <w:rStyle w:val="FootnoteReference"/>
          <w:rFonts w:cs="Arial"/>
          <w:sz w:val="22"/>
          <w:lang w:eastAsia="en-GB"/>
        </w:rPr>
        <w:footnoteReference w:id="3"/>
      </w:r>
      <w:r w:rsidRPr="00ED1CE0">
        <w:rPr>
          <w:rFonts w:cs="Arial"/>
          <w:sz w:val="22"/>
          <w:lang w:eastAsia="en-GB"/>
        </w:rPr>
        <w:t xml:space="preserve"> are immense and require that we capitalize on win-win solutions, in which trade-offs and opportunities for efficiencies are effectively managed. </w:t>
      </w:r>
    </w:p>
    <w:bookmarkEnd w:id="0"/>
    <w:p w14:paraId="548FC0A8" w14:textId="77777777" w:rsidR="000A7F0C" w:rsidRPr="00ED1CE0" w:rsidRDefault="000A7F0C" w:rsidP="000A7F0C">
      <w:pPr>
        <w:shd w:val="clear" w:color="auto" w:fill="FFFFFF"/>
        <w:spacing w:after="150"/>
        <w:rPr>
          <w:rFonts w:cs="Arial"/>
          <w:sz w:val="22"/>
          <w:lang w:eastAsia="en-GB"/>
        </w:rPr>
      </w:pPr>
      <w:r w:rsidRPr="00ED1CE0">
        <w:rPr>
          <w:rFonts w:cs="Arial"/>
          <w:sz w:val="22"/>
          <w:lang w:eastAsia="en-GB"/>
        </w:rPr>
        <w:t xml:space="preserve">Should you have a compelling story to tell, or best practices or lessons learned to share on how best to address these challenges, we would like to invite you to focus on combined goals (food systems </w:t>
      </w:r>
      <w:r w:rsidRPr="00ED1CE0">
        <w:rPr>
          <w:rFonts w:cs="Arial"/>
          <w:b/>
          <w:bCs/>
          <w:sz w:val="22"/>
          <w:lang w:eastAsia="en-GB"/>
        </w:rPr>
        <w:t>resilience to key drivers of food security and nutrition and affordability</w:t>
      </w:r>
      <w:r w:rsidRPr="00ED1CE0">
        <w:rPr>
          <w:rFonts w:cs="Arial"/>
          <w:sz w:val="22"/>
          <w:lang w:eastAsia="en-GB"/>
        </w:rPr>
        <w:t xml:space="preserve"> of healthy diets for all).  </w:t>
      </w:r>
    </w:p>
    <w:p w14:paraId="29DECAA8" w14:textId="4FED8671" w:rsidR="000A7F0C" w:rsidRPr="00ED1CE0" w:rsidRDefault="000A7F0C" w:rsidP="000A7F0C">
      <w:pPr>
        <w:shd w:val="clear" w:color="auto" w:fill="FFFFFF"/>
        <w:spacing w:after="150"/>
        <w:rPr>
          <w:rFonts w:cs="Arial"/>
          <w:b/>
          <w:bCs/>
          <w:sz w:val="22"/>
          <w:lang w:eastAsia="en-GB"/>
        </w:rPr>
      </w:pPr>
      <w:r w:rsidRPr="00ED1CE0">
        <w:rPr>
          <w:rFonts w:cs="Arial"/>
          <w:b/>
          <w:bCs/>
          <w:sz w:val="22"/>
          <w:lang w:eastAsia="en-GB"/>
        </w:rPr>
        <w:t>Please use the </w:t>
      </w:r>
      <w:hyperlink r:id="rId16" w:history="1">
        <w:r w:rsidRPr="00B37745">
          <w:rPr>
            <w:rStyle w:val="Hyperlink"/>
            <w:rFonts w:cs="Arial"/>
            <w:b/>
            <w:bCs/>
            <w:sz w:val="22"/>
            <w:lang w:eastAsia="en-GB"/>
          </w:rPr>
          <w:t>submission form</w:t>
        </w:r>
        <w:r w:rsidRPr="00B37745">
          <w:rPr>
            <w:rStyle w:val="Hyperlink"/>
            <w:rFonts w:cs="Arial"/>
            <w:b/>
            <w:bCs/>
            <w:sz w:val="22"/>
            <w:u w:val="none"/>
            <w:lang w:eastAsia="en-GB"/>
          </w:rPr>
          <w:t> </w:t>
        </w:r>
      </w:hyperlink>
      <w:r w:rsidRPr="00ED1CE0">
        <w:rPr>
          <w:rFonts w:cs="Arial"/>
          <w:b/>
          <w:bCs/>
          <w:sz w:val="22"/>
          <w:lang w:eastAsia="en-GB"/>
        </w:rPr>
        <w:t>to share your examples and experiences. </w:t>
      </w:r>
    </w:p>
    <w:p w14:paraId="6311541D" w14:textId="77777777" w:rsidR="000A7F0C" w:rsidRPr="00ED1CE0" w:rsidRDefault="000A7F0C" w:rsidP="000A7F0C">
      <w:pPr>
        <w:shd w:val="clear" w:color="auto" w:fill="FFFFFF"/>
        <w:spacing w:after="150"/>
        <w:rPr>
          <w:rFonts w:cs="Arial"/>
          <w:sz w:val="22"/>
          <w:lang w:eastAsia="en-GB"/>
        </w:rPr>
      </w:pPr>
      <w:r w:rsidRPr="00ED1CE0">
        <w:rPr>
          <w:rFonts w:cs="Arial"/>
          <w:sz w:val="22"/>
          <w:lang w:eastAsia="en-GB"/>
        </w:rPr>
        <w:t xml:space="preserve">The co-facilitators of this Call will make a selection of the submitted best practices, which they will compile in a technical background paper, acknowledging the authors of the case studies. This will feed into the 2021 edition of The State of Food Security and Nutrition in the World (to be published in July 2021). </w:t>
      </w:r>
      <w:r w:rsidRPr="00ED1CE0">
        <w:rPr>
          <w:rFonts w:cs="Arial"/>
          <w:b/>
          <w:bCs/>
          <w:sz w:val="22"/>
          <w:lang w:eastAsia="en-GB"/>
        </w:rPr>
        <w:t>In the selection process, we will consider:</w:t>
      </w:r>
    </w:p>
    <w:p w14:paraId="2AD4C882" w14:textId="77777777" w:rsidR="000A7F0C" w:rsidRPr="00ED1CE0" w:rsidRDefault="000A7F0C" w:rsidP="00E16F69">
      <w:pPr>
        <w:pStyle w:val="ListParagraph"/>
        <w:numPr>
          <w:ilvl w:val="0"/>
          <w:numId w:val="25"/>
        </w:numPr>
        <w:shd w:val="clear" w:color="auto" w:fill="FFFFFF"/>
        <w:spacing w:after="150" w:line="240" w:lineRule="auto"/>
        <w:contextualSpacing/>
        <w:rPr>
          <w:rFonts w:cs="Arial"/>
          <w:sz w:val="22"/>
          <w:lang w:eastAsia="en-GB"/>
        </w:rPr>
      </w:pPr>
      <w:r w:rsidRPr="00ED1CE0">
        <w:rPr>
          <w:rFonts w:cs="Arial"/>
          <w:b/>
          <w:bCs/>
          <w:sz w:val="22"/>
          <w:lang w:eastAsia="en-GB"/>
        </w:rPr>
        <w:t>Applicability and relevance</w:t>
      </w:r>
      <w:r w:rsidRPr="00ED1CE0">
        <w:rPr>
          <w:rFonts w:cs="Arial"/>
          <w:sz w:val="22"/>
          <w:lang w:eastAsia="en-GB"/>
        </w:rPr>
        <w:t>: initiatives representative of different country realities with regional and global perspectives.</w:t>
      </w:r>
    </w:p>
    <w:p w14:paraId="401CF340" w14:textId="4DEE714E" w:rsidR="000A7F0C" w:rsidRPr="00ED1CE0" w:rsidRDefault="000A7F0C" w:rsidP="00E16F69">
      <w:pPr>
        <w:pStyle w:val="ListParagraph"/>
        <w:numPr>
          <w:ilvl w:val="0"/>
          <w:numId w:val="25"/>
        </w:numPr>
        <w:shd w:val="clear" w:color="auto" w:fill="FFFFFF"/>
        <w:spacing w:after="150" w:line="240" w:lineRule="auto"/>
        <w:ind w:right="-142"/>
        <w:contextualSpacing/>
        <w:rPr>
          <w:rFonts w:cs="Arial"/>
          <w:sz w:val="22"/>
          <w:lang w:eastAsia="en-GB"/>
        </w:rPr>
      </w:pPr>
      <w:r w:rsidRPr="00ED1CE0">
        <w:rPr>
          <w:rFonts w:cs="Arial"/>
          <w:b/>
          <w:bCs/>
          <w:sz w:val="22"/>
          <w:lang w:eastAsia="en-GB"/>
        </w:rPr>
        <w:t>Policies, investments and other interventions</w:t>
      </w:r>
      <w:r w:rsidRPr="00ED1CE0">
        <w:rPr>
          <w:rFonts w:cs="Arial"/>
          <w:sz w:val="22"/>
          <w:lang w:eastAsia="en-GB"/>
        </w:rPr>
        <w:t xml:space="preserve"> across sectors that address two or more key drivers of food insecurity and malnutrition</w:t>
      </w:r>
      <w:r w:rsidR="00E16F69">
        <w:rPr>
          <w:rFonts w:cs="Arial"/>
          <w:sz w:val="22"/>
          <w:lang w:eastAsia="en-GB"/>
        </w:rPr>
        <w:t xml:space="preserve"> in all its forms</w:t>
      </w:r>
      <w:r w:rsidRPr="00ED1CE0">
        <w:rPr>
          <w:rFonts w:cs="Arial"/>
          <w:sz w:val="22"/>
          <w:lang w:eastAsia="en-GB"/>
        </w:rPr>
        <w:t>, including conflict, climate variability and extremes, economic slow-downs and downturns, persistent poverty and inequality, and the economic and health implications of COVID-19.</w:t>
      </w:r>
    </w:p>
    <w:p w14:paraId="31ACB7CA" w14:textId="4016C7F9" w:rsidR="000A7F0C" w:rsidRPr="00ED1CE0" w:rsidRDefault="000A7F0C" w:rsidP="00E16F69">
      <w:pPr>
        <w:pStyle w:val="ListParagraph"/>
        <w:numPr>
          <w:ilvl w:val="0"/>
          <w:numId w:val="25"/>
        </w:numPr>
        <w:shd w:val="clear" w:color="auto" w:fill="FFFFFF"/>
        <w:spacing w:after="150" w:line="240" w:lineRule="auto"/>
        <w:contextualSpacing/>
        <w:rPr>
          <w:rFonts w:cs="Arial"/>
          <w:sz w:val="22"/>
          <w:lang w:eastAsia="en-GB"/>
        </w:rPr>
      </w:pPr>
      <w:r w:rsidRPr="00ED1CE0">
        <w:rPr>
          <w:rFonts w:cs="Arial"/>
          <w:b/>
          <w:bCs/>
          <w:sz w:val="22"/>
          <w:lang w:eastAsia="en-GB"/>
        </w:rPr>
        <w:t>Engagement of</w:t>
      </w:r>
      <w:r w:rsidRPr="00ED1CE0">
        <w:rPr>
          <w:rFonts w:cs="Arial"/>
          <w:sz w:val="22"/>
          <w:lang w:eastAsia="en-GB"/>
        </w:rPr>
        <w:t xml:space="preserve"> </w:t>
      </w:r>
      <w:r w:rsidRPr="00ED1CE0">
        <w:rPr>
          <w:rFonts w:cs="Arial"/>
          <w:b/>
          <w:bCs/>
          <w:sz w:val="22"/>
          <w:lang w:eastAsia="en-GB"/>
        </w:rPr>
        <w:t>public and private sector</w:t>
      </w:r>
      <w:r w:rsidRPr="00ED1CE0">
        <w:rPr>
          <w:rFonts w:cs="Arial"/>
          <w:sz w:val="22"/>
          <w:lang w:eastAsia="en-GB"/>
        </w:rPr>
        <w:t xml:space="preserve"> </w:t>
      </w:r>
      <w:r w:rsidRPr="00ED1CE0">
        <w:rPr>
          <w:rFonts w:cs="Arial"/>
          <w:b/>
          <w:bCs/>
          <w:sz w:val="22"/>
          <w:lang w:eastAsia="en-GB"/>
        </w:rPr>
        <w:t>actors</w:t>
      </w:r>
      <w:r w:rsidRPr="00ED1CE0">
        <w:rPr>
          <w:rFonts w:cs="Arial"/>
          <w:sz w:val="22"/>
          <w:lang w:eastAsia="en-GB"/>
        </w:rPr>
        <w:t xml:space="preserve">, including different government institutions, local communities, civil society, actors along the food supply chain, </w:t>
      </w:r>
      <w:r w:rsidR="00E16F69">
        <w:rPr>
          <w:rFonts w:cs="Arial"/>
          <w:sz w:val="22"/>
          <w:lang w:eastAsia="en-GB"/>
        </w:rPr>
        <w:t xml:space="preserve">the food environment, </w:t>
      </w:r>
      <w:r w:rsidRPr="00ED1CE0">
        <w:rPr>
          <w:rFonts w:cs="Arial"/>
          <w:sz w:val="22"/>
          <w:lang w:eastAsia="en-GB"/>
        </w:rPr>
        <w:t>consumers, others.</w:t>
      </w:r>
    </w:p>
    <w:p w14:paraId="4A139C8B" w14:textId="77777777" w:rsidR="000A7F0C" w:rsidRPr="00ED1CE0" w:rsidRDefault="000A7F0C" w:rsidP="00E16F69">
      <w:pPr>
        <w:pStyle w:val="ListParagraph"/>
        <w:numPr>
          <w:ilvl w:val="0"/>
          <w:numId w:val="25"/>
        </w:numPr>
        <w:shd w:val="clear" w:color="auto" w:fill="FFFFFF"/>
        <w:spacing w:after="150" w:line="240" w:lineRule="auto"/>
        <w:contextualSpacing/>
        <w:rPr>
          <w:rFonts w:cs="Arial"/>
          <w:sz w:val="22"/>
          <w:lang w:eastAsia="en-GB"/>
        </w:rPr>
      </w:pPr>
      <w:r w:rsidRPr="00ED1CE0">
        <w:rPr>
          <w:rFonts w:cs="Arial"/>
          <w:sz w:val="22"/>
          <w:lang w:eastAsia="en-GB"/>
        </w:rPr>
        <w:t xml:space="preserve">Extent to which the innovation/transformative action helped increase </w:t>
      </w:r>
      <w:r w:rsidRPr="00ED1CE0">
        <w:rPr>
          <w:rFonts w:cs="Arial"/>
          <w:b/>
          <w:bCs/>
          <w:sz w:val="22"/>
          <w:lang w:eastAsia="en-GB"/>
        </w:rPr>
        <w:t>access to nutritious foods and the affordability of healthy diets.</w:t>
      </w:r>
      <w:r w:rsidRPr="00ED1CE0">
        <w:rPr>
          <w:rFonts w:cs="Arial"/>
          <w:sz w:val="22"/>
          <w:lang w:eastAsia="en-GB"/>
        </w:rPr>
        <w:t xml:space="preserve">   </w:t>
      </w:r>
    </w:p>
    <w:p w14:paraId="6D696A5E" w14:textId="77777777" w:rsidR="000A7F0C" w:rsidRPr="00ED1CE0" w:rsidRDefault="000A7F0C" w:rsidP="00E16F69">
      <w:pPr>
        <w:pStyle w:val="ListParagraph"/>
        <w:numPr>
          <w:ilvl w:val="0"/>
          <w:numId w:val="25"/>
        </w:numPr>
        <w:shd w:val="clear" w:color="auto" w:fill="FFFFFF"/>
        <w:spacing w:after="150" w:line="240" w:lineRule="auto"/>
        <w:contextualSpacing/>
        <w:rPr>
          <w:rFonts w:cs="Arial"/>
          <w:sz w:val="22"/>
          <w:lang w:eastAsia="en-GB"/>
        </w:rPr>
      </w:pPr>
      <w:r w:rsidRPr="00ED1CE0">
        <w:rPr>
          <w:rFonts w:cs="Arial"/>
          <w:b/>
          <w:bCs/>
          <w:sz w:val="22"/>
          <w:lang w:eastAsia="en-GB"/>
        </w:rPr>
        <w:t>Documented evidence</w:t>
      </w:r>
      <w:r w:rsidRPr="00ED1CE0">
        <w:rPr>
          <w:rFonts w:cs="Arial"/>
          <w:sz w:val="22"/>
          <w:lang w:eastAsia="en-GB"/>
        </w:rPr>
        <w:t xml:space="preserve">: additional supportive information (electronic files, web links, etc.) of successful implementation of the best practice, impact of policies and initiatives on food security and nutrition, as well as additional opportunities, challenges and trade-offs linked to the intervention. </w:t>
      </w:r>
    </w:p>
    <w:p w14:paraId="00228B3E" w14:textId="77777777" w:rsidR="000A7F0C" w:rsidRPr="00ED1CE0" w:rsidRDefault="000A7F0C" w:rsidP="000A7F0C">
      <w:pPr>
        <w:shd w:val="clear" w:color="auto" w:fill="FFFFFF"/>
        <w:spacing w:after="150"/>
        <w:rPr>
          <w:rFonts w:cs="Arial"/>
          <w:bCs/>
          <w:sz w:val="22"/>
          <w:lang w:eastAsia="en-GB"/>
        </w:rPr>
      </w:pPr>
      <w:r w:rsidRPr="00ED1CE0">
        <w:rPr>
          <w:rFonts w:cs="Arial"/>
          <w:bCs/>
          <w:sz w:val="22"/>
          <w:lang w:eastAsia="en-GB"/>
        </w:rPr>
        <w:t xml:space="preserve">We look forward to receiving your valuable input and to learning from your experiences that would help make strengthen the </w:t>
      </w:r>
      <w:r w:rsidRPr="00ED1CE0">
        <w:rPr>
          <w:rFonts w:cs="Arial"/>
          <w:sz w:val="22"/>
          <w:lang w:eastAsia="en-GB"/>
        </w:rPr>
        <w:t>SOFI 2021</w:t>
      </w:r>
      <w:r w:rsidRPr="00ED1CE0">
        <w:rPr>
          <w:rFonts w:cs="Arial"/>
          <w:bCs/>
          <w:sz w:val="22"/>
          <w:lang w:eastAsia="en-GB"/>
        </w:rPr>
        <w:t xml:space="preserve">. To support you with questions on the content of the Call and of your submissions, you can contact the co-facilitators. Furthermore, an FSN Forum webinar will be organized during the first week of March (the date will be confirmed later) to further explore best practices in food systems transformation for affordable healthy diets. </w:t>
      </w:r>
    </w:p>
    <w:p w14:paraId="48447D00" w14:textId="77777777" w:rsidR="000A7F0C" w:rsidRPr="00ED1CE0" w:rsidRDefault="000A7F0C" w:rsidP="000A7F0C">
      <w:pPr>
        <w:shd w:val="clear" w:color="auto" w:fill="FFFFFF"/>
        <w:spacing w:after="150"/>
        <w:rPr>
          <w:rFonts w:cs="Arial"/>
          <w:sz w:val="22"/>
          <w:lang w:eastAsia="en-GB"/>
        </w:rPr>
      </w:pPr>
      <w:r w:rsidRPr="00ED1CE0">
        <w:rPr>
          <w:rFonts w:cs="Arial"/>
          <w:sz w:val="22"/>
          <w:lang w:eastAsia="en-GB"/>
        </w:rPr>
        <w:lastRenderedPageBreak/>
        <w:t xml:space="preserve">Submissions are welcome in all six UN languages (English, French, Spanish, Russian, Arabic and Chinese). </w:t>
      </w:r>
    </w:p>
    <w:p w14:paraId="067C3AAD" w14:textId="7B3C2103" w:rsidR="000A7F0C" w:rsidRPr="00ED1CE0" w:rsidRDefault="000A7F0C" w:rsidP="000A7F0C">
      <w:pPr>
        <w:shd w:val="clear" w:color="auto" w:fill="FFFFFF"/>
        <w:spacing w:after="150"/>
        <w:rPr>
          <w:rFonts w:cs="Arial"/>
          <w:sz w:val="22"/>
          <w:lang w:eastAsia="en-GB"/>
        </w:rPr>
      </w:pPr>
      <w:r w:rsidRPr="00ED1CE0">
        <w:rPr>
          <w:rFonts w:cs="Arial"/>
          <w:b/>
          <w:bCs/>
          <w:sz w:val="22"/>
          <w:lang w:eastAsia="en-GB"/>
        </w:rPr>
        <w:t xml:space="preserve">The call is open until </w:t>
      </w:r>
      <w:r w:rsidR="00330F58">
        <w:rPr>
          <w:rFonts w:cs="Arial"/>
          <w:b/>
          <w:bCs/>
          <w:sz w:val="22"/>
          <w:lang w:eastAsia="en-GB"/>
        </w:rPr>
        <w:t>31</w:t>
      </w:r>
      <w:r w:rsidRPr="00ED1CE0">
        <w:rPr>
          <w:rFonts w:cs="Arial"/>
          <w:b/>
          <w:bCs/>
          <w:sz w:val="22"/>
          <w:lang w:eastAsia="en-GB"/>
        </w:rPr>
        <w:t xml:space="preserve"> March 2021</w:t>
      </w:r>
      <w:r w:rsidRPr="00ED1CE0">
        <w:rPr>
          <w:rFonts w:cs="Arial"/>
          <w:sz w:val="22"/>
          <w:lang w:eastAsia="en-GB"/>
        </w:rPr>
        <w:t>.</w:t>
      </w:r>
    </w:p>
    <w:p w14:paraId="66E3C042" w14:textId="77777777" w:rsidR="000A7F0C" w:rsidRPr="00ED1CE0" w:rsidRDefault="000A7F0C" w:rsidP="000A7F0C">
      <w:pPr>
        <w:shd w:val="clear" w:color="auto" w:fill="FFFFFF"/>
        <w:spacing w:after="150"/>
        <w:rPr>
          <w:rFonts w:cs="Arial"/>
          <w:bCs/>
          <w:sz w:val="22"/>
          <w:lang w:eastAsia="en-GB"/>
        </w:rPr>
      </w:pPr>
      <w:r w:rsidRPr="00ED1CE0">
        <w:rPr>
          <w:rFonts w:cs="Arial"/>
          <w:sz w:val="22"/>
          <w:lang w:eastAsia="en-GB"/>
        </w:rPr>
        <w:t xml:space="preserve">You can upload the completed submission form on this webpage. </w:t>
      </w:r>
      <w:r w:rsidRPr="00ED1CE0">
        <w:rPr>
          <w:rFonts w:cs="Arial"/>
          <w:bCs/>
          <w:sz w:val="22"/>
          <w:lang w:eastAsia="en-GB"/>
        </w:rPr>
        <w:t>To contact the SOFI team or for any technical support regarding downloading or uploading the submission form, please send an email to </w:t>
      </w:r>
      <w:hyperlink r:id="rId17" w:history="1">
        <w:r w:rsidRPr="00ED1CE0">
          <w:rPr>
            <w:rFonts w:cs="Arial"/>
            <w:bCs/>
            <w:color w:val="0D6CAC"/>
            <w:sz w:val="22"/>
            <w:u w:val="single"/>
            <w:lang w:eastAsia="en-GB"/>
          </w:rPr>
          <w:t>fsn-moderator@fao.org</w:t>
        </w:r>
      </w:hyperlink>
      <w:r w:rsidRPr="00ED1CE0">
        <w:rPr>
          <w:rFonts w:cs="Arial"/>
          <w:bCs/>
          <w:sz w:val="22"/>
          <w:lang w:eastAsia="en-GB"/>
        </w:rPr>
        <w:t>.</w:t>
      </w:r>
    </w:p>
    <w:p w14:paraId="4A5393C5" w14:textId="77777777" w:rsidR="000A7F0C" w:rsidRPr="005C2F1F" w:rsidRDefault="000A7F0C" w:rsidP="000A7F0C">
      <w:pPr>
        <w:shd w:val="clear" w:color="auto" w:fill="FFFFFF"/>
        <w:spacing w:after="150"/>
        <w:rPr>
          <w:rFonts w:cs="Arial"/>
          <w:bCs/>
          <w:iCs/>
          <w:sz w:val="22"/>
          <w:lang w:eastAsia="en-GB"/>
        </w:rPr>
      </w:pPr>
      <w:r w:rsidRPr="005C2F1F">
        <w:rPr>
          <w:rFonts w:cs="Arial"/>
          <w:bCs/>
          <w:iCs/>
          <w:sz w:val="22"/>
          <w:lang w:eastAsia="en-GB"/>
        </w:rPr>
        <w:t>Your FSN Forum team and the co-facilitators:</w:t>
      </w:r>
    </w:p>
    <w:p w14:paraId="63578E1B" w14:textId="77777777" w:rsidR="00FF0BA4" w:rsidRDefault="000A7F0C" w:rsidP="00FF0BA4">
      <w:pPr>
        <w:shd w:val="clear" w:color="auto" w:fill="FFFFFF"/>
        <w:spacing w:after="150"/>
        <w:rPr>
          <w:rFonts w:cs="Arial"/>
          <w:bCs/>
          <w:i/>
          <w:iCs/>
          <w:sz w:val="22"/>
          <w:lang w:eastAsia="en-GB"/>
        </w:rPr>
      </w:pPr>
      <w:r w:rsidRPr="005C2F1F">
        <w:rPr>
          <w:rFonts w:cs="Arial"/>
          <w:bCs/>
          <w:i/>
          <w:iCs/>
          <w:sz w:val="22"/>
          <w:lang w:eastAsia="en-GB"/>
        </w:rPr>
        <w:t>Cindy Holleman, Senior Economist and Editor of The State of Food Security and Nutrition in the World, Agri-food Economics Division (ESA)</w:t>
      </w:r>
    </w:p>
    <w:p w14:paraId="7FCBD4EF" w14:textId="30F38F48" w:rsidR="000A7F0C" w:rsidRPr="005C2F1F" w:rsidRDefault="000A7F0C" w:rsidP="00FF0BA4">
      <w:pPr>
        <w:shd w:val="clear" w:color="auto" w:fill="FFFFFF"/>
        <w:spacing w:after="150"/>
        <w:rPr>
          <w:rFonts w:cs="Arial"/>
          <w:bCs/>
          <w:i/>
          <w:iCs/>
          <w:sz w:val="22"/>
          <w:lang w:eastAsia="en-GB"/>
        </w:rPr>
      </w:pPr>
      <w:r w:rsidRPr="005C2F1F">
        <w:rPr>
          <w:rFonts w:cs="Arial"/>
          <w:bCs/>
          <w:i/>
          <w:iCs/>
          <w:sz w:val="22"/>
          <w:lang w:eastAsia="en-GB"/>
        </w:rPr>
        <w:t>Mark Smulders, Special Advisor to the Report: The State of Food Security and Nutrition in the World 2021</w:t>
      </w:r>
    </w:p>
    <w:p w14:paraId="49B4C418" w14:textId="77777777" w:rsidR="000A7F0C" w:rsidRPr="00ED1CE0" w:rsidRDefault="000A7F0C" w:rsidP="000A7F0C">
      <w:pPr>
        <w:shd w:val="clear" w:color="auto" w:fill="FFFFFF"/>
        <w:spacing w:after="150"/>
        <w:rPr>
          <w:rFonts w:cs="Arial"/>
          <w:bCs/>
          <w:color w:val="003B43"/>
          <w:sz w:val="22"/>
          <w:lang w:eastAsia="en-GB"/>
        </w:rPr>
      </w:pPr>
    </w:p>
    <w:p w14:paraId="36D39C85" w14:textId="77777777" w:rsidR="000A7F0C" w:rsidRPr="00ED1CE0" w:rsidRDefault="000A7F0C" w:rsidP="000A7F0C">
      <w:pPr>
        <w:shd w:val="clear" w:color="auto" w:fill="FFFFFF"/>
        <w:spacing w:after="150"/>
        <w:rPr>
          <w:rStyle w:val="Hyperlink"/>
          <w:rFonts w:cs="Arial"/>
          <w:sz w:val="22"/>
          <w:lang w:eastAsia="en-GB"/>
        </w:rPr>
      </w:pPr>
    </w:p>
    <w:p w14:paraId="6F285EF3" w14:textId="77777777" w:rsidR="000A7F0C" w:rsidRPr="00ED1CE0" w:rsidRDefault="000A7F0C" w:rsidP="000A7F0C">
      <w:pPr>
        <w:shd w:val="clear" w:color="auto" w:fill="FFFFFF"/>
        <w:spacing w:after="150"/>
        <w:rPr>
          <w:rFonts w:cs="Arial"/>
          <w:color w:val="003B43"/>
          <w:sz w:val="22"/>
          <w:lang w:eastAsia="en-GB"/>
        </w:rPr>
      </w:pPr>
    </w:p>
    <w:p w14:paraId="7ACF78CD" w14:textId="77777777" w:rsidR="000A7F0C" w:rsidRPr="00ED1CE0" w:rsidRDefault="000A7F0C" w:rsidP="000A7F0C">
      <w:pPr>
        <w:rPr>
          <w:sz w:val="22"/>
        </w:rPr>
      </w:pPr>
    </w:p>
    <w:p w14:paraId="2FF3EE7F" w14:textId="77777777" w:rsidR="000A7F0C" w:rsidRPr="00E7714A" w:rsidRDefault="000A7F0C" w:rsidP="00F37A93">
      <w:pPr>
        <w:pStyle w:val="PlainText"/>
        <w:rPr>
          <w:rFonts w:ascii="Times New Roman" w:hAnsi="Times New Roman"/>
          <w:color w:val="000000" w:themeColor="text1"/>
          <w:szCs w:val="24"/>
          <w:u w:val="single"/>
        </w:rPr>
      </w:pPr>
    </w:p>
    <w:p w14:paraId="71F480F6" w14:textId="17036FF5" w:rsidR="003B4403" w:rsidRPr="001C5341" w:rsidRDefault="003B4403" w:rsidP="001D2BC2">
      <w:pPr>
        <w:spacing w:after="0"/>
        <w:rPr>
          <w:lang w:val="en-GB"/>
        </w:rPr>
      </w:pPr>
    </w:p>
    <w:p w14:paraId="5D30B067" w14:textId="5C29111B" w:rsidR="00E21809" w:rsidRPr="00562B32" w:rsidRDefault="00E21809" w:rsidP="00E7714A">
      <w:pPr>
        <w:spacing w:after="0"/>
        <w:rPr>
          <w:rFonts w:asciiTheme="majorHAnsi" w:hAnsiTheme="majorHAnsi"/>
          <w:noProof/>
          <w:sz w:val="22"/>
          <w:lang w:eastAsia="zh-CN"/>
        </w:rPr>
      </w:pPr>
    </w:p>
    <w:sectPr w:rsidR="00E21809" w:rsidRPr="00562B32" w:rsidSect="008F2ADB">
      <w:headerReference w:type="even" r:id="rId18"/>
      <w:headerReference w:type="default" r:id="rId19"/>
      <w:footerReference w:type="even" r:id="rId20"/>
      <w:footerReference w:type="default" r:id="rId21"/>
      <w:headerReference w:type="first" r:id="rId22"/>
      <w:footerReference w:type="first" r:id="rId2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1A46" w14:textId="77777777" w:rsidR="000C183C" w:rsidRDefault="000C183C" w:rsidP="00D079C6">
      <w:pPr>
        <w:spacing w:after="0"/>
      </w:pPr>
      <w:r>
        <w:separator/>
      </w:r>
    </w:p>
    <w:p w14:paraId="5619BB68" w14:textId="77777777" w:rsidR="000C183C" w:rsidRDefault="000C183C"/>
  </w:endnote>
  <w:endnote w:type="continuationSeparator" w:id="0">
    <w:p w14:paraId="4C43FF47" w14:textId="77777777" w:rsidR="000C183C" w:rsidRDefault="000C183C" w:rsidP="00D079C6">
      <w:pPr>
        <w:spacing w:after="0"/>
      </w:pPr>
      <w:r>
        <w:continuationSeparator/>
      </w:r>
    </w:p>
    <w:p w14:paraId="67A51C6F" w14:textId="77777777" w:rsidR="000C183C" w:rsidRDefault="000C1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hbar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0D84" w14:textId="77777777" w:rsidR="00330F58" w:rsidRDefault="0033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036912" w:rsidRDefault="00527518" w:rsidP="00527518">
    <w:pPr>
      <w:pStyle w:val="Footer"/>
      <w:tabs>
        <w:tab w:val="clear" w:pos="9360"/>
        <w:tab w:val="right" w:pos="9639"/>
      </w:tabs>
      <w:jc w:val="left"/>
      <w:rPr>
        <w:rStyle w:val="Hyperlink"/>
        <w:sz w:val="22"/>
      </w:rPr>
    </w:pPr>
    <w:r w:rsidRPr="00036912">
      <w:rPr>
        <w:color w:val="31849B" w:themeColor="accent5" w:themeShade="BF"/>
        <w:sz w:val="22"/>
      </w:rPr>
      <w:t>Global Forum on Food Security and Nutrition</w:t>
    </w:r>
    <w:r w:rsidRPr="00036912">
      <w:rPr>
        <w:color w:val="31849B" w:themeColor="accent5" w:themeShade="BF"/>
        <w:sz w:val="22"/>
      </w:rPr>
      <w:tab/>
    </w:r>
    <w:r w:rsidRPr="00036912">
      <w:rPr>
        <w:color w:val="C00000"/>
        <w:sz w:val="22"/>
      </w:rPr>
      <w:tab/>
    </w:r>
    <w:hyperlink r:id="rId1" w:history="1">
      <w:r w:rsidRPr="00036912">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036912" w:rsidRDefault="00523E6B" w:rsidP="008F2ADB">
    <w:pPr>
      <w:pStyle w:val="Footer"/>
      <w:tabs>
        <w:tab w:val="clear" w:pos="9360"/>
        <w:tab w:val="right" w:pos="9639"/>
      </w:tabs>
      <w:jc w:val="left"/>
      <w:rPr>
        <w:rStyle w:val="Hyperlink"/>
        <w:sz w:val="22"/>
      </w:rPr>
    </w:pPr>
    <w:r w:rsidRPr="00036912">
      <w:rPr>
        <w:color w:val="31849B" w:themeColor="accent5" w:themeShade="BF"/>
        <w:sz w:val="22"/>
      </w:rPr>
      <w:t>Global Forum on Food Security and Nutrition</w:t>
    </w:r>
    <w:r w:rsidR="00527518" w:rsidRPr="00036912">
      <w:rPr>
        <w:color w:val="31849B" w:themeColor="accent5" w:themeShade="BF"/>
        <w:sz w:val="22"/>
      </w:rPr>
      <w:tab/>
    </w:r>
    <w:r w:rsidRPr="00036912">
      <w:rPr>
        <w:color w:val="C00000"/>
        <w:sz w:val="22"/>
      </w:rPr>
      <w:tab/>
    </w:r>
    <w:hyperlink r:id="rId1" w:history="1">
      <w:r w:rsidRPr="00036912">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0DF9" w14:textId="77777777" w:rsidR="000C183C" w:rsidRDefault="000C183C" w:rsidP="00D079C6">
      <w:pPr>
        <w:spacing w:after="0"/>
      </w:pPr>
      <w:r>
        <w:separator/>
      </w:r>
    </w:p>
    <w:p w14:paraId="58CE016B" w14:textId="77777777" w:rsidR="000C183C" w:rsidRDefault="000C183C"/>
  </w:footnote>
  <w:footnote w:type="continuationSeparator" w:id="0">
    <w:p w14:paraId="4C944776" w14:textId="77777777" w:rsidR="000C183C" w:rsidRDefault="000C183C" w:rsidP="00D079C6">
      <w:pPr>
        <w:spacing w:after="0"/>
      </w:pPr>
      <w:r>
        <w:continuationSeparator/>
      </w:r>
    </w:p>
    <w:p w14:paraId="6F86677C" w14:textId="77777777" w:rsidR="000C183C" w:rsidRDefault="000C183C"/>
  </w:footnote>
  <w:footnote w:id="1">
    <w:p w14:paraId="045A394D" w14:textId="77777777" w:rsidR="000A7F0C" w:rsidRPr="000A7F0C" w:rsidRDefault="000A7F0C" w:rsidP="000A7F0C">
      <w:pPr>
        <w:pStyle w:val="FootnoteText"/>
        <w:rPr>
          <w:lang w:val="en-US"/>
        </w:rPr>
      </w:pPr>
      <w:r>
        <w:rPr>
          <w:rStyle w:val="FootnoteReference"/>
        </w:rPr>
        <w:footnoteRef/>
      </w:r>
      <w:r w:rsidRPr="000A7F0C">
        <w:rPr>
          <w:lang w:val="en-US"/>
        </w:rPr>
        <w:t xml:space="preserve"> The inter-Agency SOFI writing team consists of technical experts from FAO, IFAD, UNICEF, WHO and WFP.</w:t>
      </w:r>
    </w:p>
  </w:footnote>
  <w:footnote w:id="2">
    <w:p w14:paraId="1454F6F2" w14:textId="77777777" w:rsidR="000A7F0C" w:rsidRPr="00ED1CE0" w:rsidRDefault="000A7F0C" w:rsidP="000A7F0C">
      <w:pPr>
        <w:pStyle w:val="FootnoteText"/>
        <w:rPr>
          <w:lang w:val="en-US"/>
        </w:rPr>
      </w:pPr>
      <w:r>
        <w:rPr>
          <w:rStyle w:val="FootnoteReference"/>
        </w:rPr>
        <w:footnoteRef/>
      </w:r>
      <w:r w:rsidRPr="00ED1CE0">
        <w:rPr>
          <w:lang w:val="en-US"/>
        </w:rPr>
        <w:t xml:space="preserve"> </w:t>
      </w:r>
      <w:hyperlink r:id="rId1" w:history="1">
        <w:r w:rsidRPr="00ED1CE0">
          <w:rPr>
            <w:rStyle w:val="Hyperlink"/>
            <w:rFonts w:cs="Arial"/>
            <w:lang w:val="en-US"/>
          </w:rPr>
          <w:t>SOFI 2017</w:t>
        </w:r>
      </w:hyperlink>
      <w:r w:rsidRPr="00ED1CE0">
        <w:rPr>
          <w:rFonts w:cs="Arial"/>
          <w:color w:val="000000" w:themeColor="text1"/>
          <w:lang w:val="en-US"/>
        </w:rPr>
        <w:t xml:space="preserve">, </w:t>
      </w:r>
      <w:hyperlink r:id="rId2" w:history="1">
        <w:r w:rsidRPr="00ED1CE0">
          <w:rPr>
            <w:rStyle w:val="Hyperlink"/>
            <w:rFonts w:cs="Arial"/>
            <w:lang w:val="en-US"/>
          </w:rPr>
          <w:t>SOFI 2018</w:t>
        </w:r>
      </w:hyperlink>
      <w:r w:rsidRPr="00ED1CE0">
        <w:rPr>
          <w:rFonts w:cs="Arial"/>
          <w:color w:val="000000" w:themeColor="text1"/>
          <w:lang w:val="en-US"/>
        </w:rPr>
        <w:t xml:space="preserve">, </w:t>
      </w:r>
      <w:hyperlink r:id="rId3" w:history="1">
        <w:r w:rsidRPr="00ED1CE0">
          <w:rPr>
            <w:rStyle w:val="Hyperlink"/>
            <w:rFonts w:cs="Arial"/>
            <w:lang w:val="en-US"/>
          </w:rPr>
          <w:t>SOFI 2019</w:t>
        </w:r>
      </w:hyperlink>
      <w:r w:rsidRPr="00ED1CE0">
        <w:rPr>
          <w:rFonts w:cs="Arial"/>
          <w:color w:val="000000" w:themeColor="text1"/>
          <w:lang w:val="en-US"/>
        </w:rPr>
        <w:t xml:space="preserve">, </w:t>
      </w:r>
      <w:hyperlink r:id="rId4" w:history="1">
        <w:r w:rsidRPr="00ED1CE0">
          <w:rPr>
            <w:rStyle w:val="Hyperlink"/>
            <w:lang w:val="en-US"/>
          </w:rPr>
          <w:t>SOFI 2020</w:t>
        </w:r>
      </w:hyperlink>
      <w:r w:rsidRPr="00ED1CE0">
        <w:rPr>
          <w:lang w:val="en-US"/>
        </w:rPr>
        <w:t>.</w:t>
      </w:r>
    </w:p>
  </w:footnote>
  <w:footnote w:id="3">
    <w:p w14:paraId="1A926FB1" w14:textId="77777777" w:rsidR="000A7F0C" w:rsidRPr="000A7F0C" w:rsidRDefault="000A7F0C" w:rsidP="000A7F0C">
      <w:pPr>
        <w:pStyle w:val="FootnoteText"/>
        <w:rPr>
          <w:lang w:val="en-US"/>
        </w:rPr>
      </w:pPr>
      <w:r>
        <w:rPr>
          <w:rStyle w:val="FootnoteReference"/>
        </w:rPr>
        <w:footnoteRef/>
      </w:r>
      <w:r w:rsidRPr="000A7F0C">
        <w:rPr>
          <w:lang w:val="en-US"/>
        </w:rPr>
        <w:t xml:space="preserve"> Please note that by “transformative change”, we refer to innovative, pro-active changes away from “business as usual”, and where the changes introduced lead to increased affordability of nutritious foods and healthy diets.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DC18" w14:textId="77777777" w:rsidR="00330F58" w:rsidRDefault="00330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4E280B">
      <w:tc>
        <w:tcPr>
          <w:tcW w:w="249" w:type="pct"/>
          <w:shd w:val="clear" w:color="auto" w:fill="auto"/>
          <w:vAlign w:val="center"/>
        </w:tcPr>
        <w:p w14:paraId="02C8A6C8" w14:textId="77777777" w:rsidR="00523E6B" w:rsidRPr="00B01341" w:rsidRDefault="00523E6B" w:rsidP="004E280B">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9B6B77">
            <w:rPr>
              <w:noProof/>
              <w:color w:val="31849B"/>
              <w:sz w:val="20"/>
              <w:szCs w:val="20"/>
            </w:rPr>
            <w:t>3</w:t>
          </w:r>
          <w:r w:rsidRPr="00B01341">
            <w:rPr>
              <w:color w:val="31849B"/>
              <w:sz w:val="20"/>
              <w:szCs w:val="20"/>
            </w:rPr>
            <w:fldChar w:fldCharType="end"/>
          </w:r>
        </w:p>
      </w:tc>
      <w:tc>
        <w:tcPr>
          <w:tcW w:w="4751" w:type="pct"/>
          <w:shd w:val="clear" w:color="auto" w:fill="auto"/>
        </w:tcPr>
        <w:p w14:paraId="66B30B10" w14:textId="6A4218FC" w:rsidR="00523E6B" w:rsidRPr="008F2ADB" w:rsidRDefault="00E7714A" w:rsidP="001C5341">
          <w:pPr>
            <w:pStyle w:val="top"/>
          </w:pPr>
          <w:r w:rsidRPr="00E7714A">
            <w:t>Call for best practices in transforming food systems for affordable healthy diets and addressing key drivers of food insecurity and malnutrition</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309EC338" w:rsidR="00523E6B" w:rsidRPr="0043646E" w:rsidRDefault="001B746D" w:rsidP="00562B32">
          <w:pPr>
            <w:pStyle w:val="Heading6"/>
            <w:spacing w:before="0" w:after="0"/>
          </w:pPr>
          <w:r>
            <w:t>TOPIC</w:t>
          </w:r>
        </w:p>
      </w:tc>
    </w:tr>
    <w:tr w:rsidR="00523E6B" w:rsidRPr="00EB3574" w14:paraId="36933E01" w14:textId="77777777" w:rsidTr="00A30E12">
      <w:trPr>
        <w:jc w:val="center"/>
      </w:trPr>
      <w:tc>
        <w:tcPr>
          <w:tcW w:w="9639" w:type="dxa"/>
          <w:shd w:val="clear" w:color="auto" w:fill="FFFFFF" w:themeFill="background1"/>
        </w:tcPr>
        <w:p w14:paraId="0A3BE37F" w14:textId="50CD5674" w:rsidR="00E7714A" w:rsidRPr="00036912" w:rsidRDefault="001D2BC2" w:rsidP="00E7714A">
          <w:pPr>
            <w:spacing w:after="0" w:line="276" w:lineRule="auto"/>
            <w:jc w:val="center"/>
            <w:rPr>
              <w:rFonts w:asciiTheme="majorHAnsi" w:hAnsiTheme="majorHAnsi"/>
              <w:b/>
              <w:color w:val="31849B" w:themeColor="accent5" w:themeShade="BF"/>
              <w:sz w:val="22"/>
            </w:rPr>
          </w:pPr>
          <w:r w:rsidRPr="00036912">
            <w:rPr>
              <w:rFonts w:asciiTheme="majorHAnsi" w:hAnsiTheme="majorHAnsi"/>
              <w:b/>
              <w:sz w:val="22"/>
            </w:rPr>
            <w:t>2</w:t>
          </w:r>
          <w:r w:rsidR="003F1C60">
            <w:rPr>
              <w:rFonts w:asciiTheme="majorHAnsi" w:hAnsiTheme="majorHAnsi"/>
              <w:b/>
              <w:sz w:val="22"/>
            </w:rPr>
            <w:t>4</w:t>
          </w:r>
          <w:r w:rsidRPr="00036912">
            <w:rPr>
              <w:rFonts w:asciiTheme="majorHAnsi" w:hAnsiTheme="majorHAnsi"/>
              <w:b/>
              <w:sz w:val="22"/>
            </w:rPr>
            <w:t>.</w:t>
          </w:r>
          <w:r w:rsidR="00562B32" w:rsidRPr="00036912">
            <w:rPr>
              <w:rFonts w:asciiTheme="majorHAnsi" w:hAnsiTheme="majorHAnsi"/>
              <w:b/>
              <w:sz w:val="22"/>
            </w:rPr>
            <w:t>0</w:t>
          </w:r>
          <w:r w:rsidR="00E7714A">
            <w:rPr>
              <w:rFonts w:asciiTheme="majorHAnsi" w:hAnsiTheme="majorHAnsi"/>
              <w:b/>
              <w:sz w:val="22"/>
            </w:rPr>
            <w:t>2</w:t>
          </w:r>
          <w:r w:rsidR="00E21809" w:rsidRPr="00036912">
            <w:rPr>
              <w:rFonts w:asciiTheme="majorHAnsi" w:hAnsiTheme="majorHAnsi"/>
              <w:b/>
              <w:sz w:val="22"/>
            </w:rPr>
            <w:t>.20</w:t>
          </w:r>
          <w:r w:rsidR="00E7714A">
            <w:rPr>
              <w:rFonts w:asciiTheme="majorHAnsi" w:hAnsiTheme="majorHAnsi"/>
              <w:b/>
              <w:sz w:val="22"/>
            </w:rPr>
            <w:t>21</w:t>
          </w:r>
          <w:r w:rsidR="00E21809" w:rsidRPr="00036912">
            <w:rPr>
              <w:rFonts w:asciiTheme="majorHAnsi" w:hAnsiTheme="majorHAnsi"/>
              <w:b/>
              <w:sz w:val="22"/>
            </w:rPr>
            <w:t xml:space="preserve"> – </w:t>
          </w:r>
          <w:r w:rsidR="00330F58">
            <w:rPr>
              <w:rFonts w:asciiTheme="majorHAnsi" w:hAnsiTheme="majorHAnsi"/>
              <w:b/>
              <w:sz w:val="22"/>
            </w:rPr>
            <w:t>31</w:t>
          </w:r>
          <w:bookmarkStart w:id="1" w:name="_GoBack"/>
          <w:bookmarkEnd w:id="1"/>
          <w:r w:rsidRPr="00036912">
            <w:rPr>
              <w:rFonts w:asciiTheme="majorHAnsi" w:hAnsiTheme="majorHAnsi"/>
              <w:b/>
              <w:sz w:val="22"/>
            </w:rPr>
            <w:t>.</w:t>
          </w:r>
          <w:r w:rsidR="00562B32" w:rsidRPr="00036912">
            <w:rPr>
              <w:rFonts w:asciiTheme="majorHAnsi" w:hAnsiTheme="majorHAnsi"/>
              <w:b/>
              <w:sz w:val="22"/>
            </w:rPr>
            <w:t>0</w:t>
          </w:r>
          <w:r w:rsidR="00E7714A">
            <w:rPr>
              <w:rFonts w:asciiTheme="majorHAnsi" w:hAnsiTheme="majorHAnsi"/>
              <w:b/>
              <w:sz w:val="22"/>
            </w:rPr>
            <w:t>3</w:t>
          </w:r>
          <w:r w:rsidRPr="00036912">
            <w:rPr>
              <w:rFonts w:asciiTheme="majorHAnsi" w:hAnsiTheme="majorHAnsi"/>
              <w:b/>
              <w:sz w:val="22"/>
            </w:rPr>
            <w:t>.20</w:t>
          </w:r>
          <w:r w:rsidR="00E7714A">
            <w:rPr>
              <w:rFonts w:asciiTheme="majorHAnsi" w:hAnsiTheme="majorHAnsi"/>
              <w:b/>
              <w:sz w:val="22"/>
            </w:rPr>
            <w:t>21</w:t>
          </w:r>
          <w:r w:rsidR="00523E6B" w:rsidRPr="00036912">
            <w:rPr>
              <w:rFonts w:asciiTheme="majorHAnsi" w:hAnsiTheme="majorHAnsi"/>
              <w:b/>
              <w:color w:val="31849B" w:themeColor="accent5" w:themeShade="BF"/>
              <w:sz w:val="22"/>
            </w:rPr>
            <w:br/>
          </w:r>
          <w:r w:rsidR="00523E6B" w:rsidRPr="00036912">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036912">
            <w:rPr>
              <w:sz w:val="22"/>
            </w:rPr>
            <w:t xml:space="preserve">   </w:t>
          </w:r>
          <w:hyperlink r:id="rId4" w:history="1">
            <w:r w:rsidR="00E7714A" w:rsidRPr="000416F6">
              <w:rPr>
                <w:rStyle w:val="Hyperlink"/>
              </w:rPr>
              <w:t>http://www.fao.org/fsnforum/activities/discussions/SOFI_transforming_food_systems</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0"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4"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4"/>
  </w:num>
  <w:num w:numId="4">
    <w:abstractNumId w:val="13"/>
  </w:num>
  <w:num w:numId="5">
    <w:abstractNumId w:val="4"/>
  </w:num>
  <w:num w:numId="6">
    <w:abstractNumId w:val="16"/>
  </w:num>
  <w:num w:numId="7">
    <w:abstractNumId w:val="6"/>
  </w:num>
  <w:num w:numId="8">
    <w:abstractNumId w:val="8"/>
  </w:num>
  <w:num w:numId="9">
    <w:abstractNumId w:val="14"/>
  </w:num>
  <w:num w:numId="10">
    <w:abstractNumId w:val="17"/>
  </w:num>
  <w:num w:numId="11">
    <w:abstractNumId w:val="12"/>
  </w:num>
  <w:num w:numId="12">
    <w:abstractNumId w:val="17"/>
  </w:num>
  <w:num w:numId="13">
    <w:abstractNumId w:val="20"/>
  </w:num>
  <w:num w:numId="14">
    <w:abstractNumId w:val="3"/>
  </w:num>
  <w:num w:numId="15">
    <w:abstractNumId w:val="21"/>
  </w:num>
  <w:num w:numId="16">
    <w:abstractNumId w:val="7"/>
  </w:num>
  <w:num w:numId="17">
    <w:abstractNumId w:val="10"/>
  </w:num>
  <w:num w:numId="18">
    <w:abstractNumId w:val="22"/>
  </w:num>
  <w:num w:numId="19">
    <w:abstractNumId w:val="1"/>
  </w:num>
  <w:num w:numId="20">
    <w:abstractNumId w:val="23"/>
  </w:num>
  <w:num w:numId="21">
    <w:abstractNumId w:val="11"/>
  </w:num>
  <w:num w:numId="22">
    <w:abstractNumId w:val="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6912"/>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A7F0C"/>
    <w:rsid w:val="000B163E"/>
    <w:rsid w:val="000B4BB8"/>
    <w:rsid w:val="000B63A7"/>
    <w:rsid w:val="000C0659"/>
    <w:rsid w:val="000C183C"/>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4926"/>
    <w:rsid w:val="001B746D"/>
    <w:rsid w:val="001B7B9C"/>
    <w:rsid w:val="001C0DE7"/>
    <w:rsid w:val="001C3E4C"/>
    <w:rsid w:val="001C5341"/>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228EA"/>
    <w:rsid w:val="00235327"/>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5147"/>
    <w:rsid w:val="002B7A20"/>
    <w:rsid w:val="002C016B"/>
    <w:rsid w:val="002C533F"/>
    <w:rsid w:val="002D0C13"/>
    <w:rsid w:val="002D0DB5"/>
    <w:rsid w:val="002D645B"/>
    <w:rsid w:val="002E2407"/>
    <w:rsid w:val="002E3A18"/>
    <w:rsid w:val="002E57CC"/>
    <w:rsid w:val="002F5516"/>
    <w:rsid w:val="003025C0"/>
    <w:rsid w:val="003045C3"/>
    <w:rsid w:val="00323733"/>
    <w:rsid w:val="00326CDF"/>
    <w:rsid w:val="00330F58"/>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1C60"/>
    <w:rsid w:val="003F2437"/>
    <w:rsid w:val="004001EC"/>
    <w:rsid w:val="00402F5C"/>
    <w:rsid w:val="00413C59"/>
    <w:rsid w:val="00415E47"/>
    <w:rsid w:val="004339ED"/>
    <w:rsid w:val="00434855"/>
    <w:rsid w:val="0043646E"/>
    <w:rsid w:val="00440F26"/>
    <w:rsid w:val="00441081"/>
    <w:rsid w:val="00442697"/>
    <w:rsid w:val="00442895"/>
    <w:rsid w:val="00443C29"/>
    <w:rsid w:val="00446C71"/>
    <w:rsid w:val="00450A16"/>
    <w:rsid w:val="00453970"/>
    <w:rsid w:val="00454AD6"/>
    <w:rsid w:val="00454FC9"/>
    <w:rsid w:val="0045705D"/>
    <w:rsid w:val="0046248A"/>
    <w:rsid w:val="00464066"/>
    <w:rsid w:val="00464C5F"/>
    <w:rsid w:val="00465916"/>
    <w:rsid w:val="00473535"/>
    <w:rsid w:val="0047467B"/>
    <w:rsid w:val="00474FA1"/>
    <w:rsid w:val="0048282F"/>
    <w:rsid w:val="00483C40"/>
    <w:rsid w:val="00483F46"/>
    <w:rsid w:val="004843DC"/>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280B"/>
    <w:rsid w:val="004E7CE9"/>
    <w:rsid w:val="004F31FF"/>
    <w:rsid w:val="004F67DD"/>
    <w:rsid w:val="00501155"/>
    <w:rsid w:val="00502264"/>
    <w:rsid w:val="005031A5"/>
    <w:rsid w:val="00503765"/>
    <w:rsid w:val="0050393D"/>
    <w:rsid w:val="0050498E"/>
    <w:rsid w:val="00504AA4"/>
    <w:rsid w:val="00513851"/>
    <w:rsid w:val="0051392C"/>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2E7A"/>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2F1F"/>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74FED"/>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56B48"/>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D7A5A"/>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6B77"/>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22FF0"/>
    <w:rsid w:val="00B330F2"/>
    <w:rsid w:val="00B34236"/>
    <w:rsid w:val="00B35E4D"/>
    <w:rsid w:val="00B36508"/>
    <w:rsid w:val="00B37745"/>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C6050"/>
    <w:rsid w:val="00BD0002"/>
    <w:rsid w:val="00BD0D6C"/>
    <w:rsid w:val="00BD2198"/>
    <w:rsid w:val="00BE2CAB"/>
    <w:rsid w:val="00BE73FA"/>
    <w:rsid w:val="00BF115F"/>
    <w:rsid w:val="00BF409B"/>
    <w:rsid w:val="00BF7416"/>
    <w:rsid w:val="00C003D8"/>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3BAE"/>
    <w:rsid w:val="00C851E8"/>
    <w:rsid w:val="00C8594E"/>
    <w:rsid w:val="00C90D7D"/>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16F69"/>
    <w:rsid w:val="00E21809"/>
    <w:rsid w:val="00E240A1"/>
    <w:rsid w:val="00E257AD"/>
    <w:rsid w:val="00E32087"/>
    <w:rsid w:val="00E3306F"/>
    <w:rsid w:val="00E36ED5"/>
    <w:rsid w:val="00E37166"/>
    <w:rsid w:val="00E419B2"/>
    <w:rsid w:val="00E42435"/>
    <w:rsid w:val="00E50EAE"/>
    <w:rsid w:val="00E54CE8"/>
    <w:rsid w:val="00E5655F"/>
    <w:rsid w:val="00E56B43"/>
    <w:rsid w:val="00E571CD"/>
    <w:rsid w:val="00E60482"/>
    <w:rsid w:val="00E63F7A"/>
    <w:rsid w:val="00E72303"/>
    <w:rsid w:val="00E75843"/>
    <w:rsid w:val="00E7714A"/>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102E"/>
    <w:rsid w:val="00EF2A44"/>
    <w:rsid w:val="00EF404C"/>
    <w:rsid w:val="00EF6D5B"/>
    <w:rsid w:val="00F0262F"/>
    <w:rsid w:val="00F10080"/>
    <w:rsid w:val="00F13551"/>
    <w:rsid w:val="00F13E43"/>
    <w:rsid w:val="00F2254B"/>
    <w:rsid w:val="00F25E6E"/>
    <w:rsid w:val="00F31846"/>
    <w:rsid w:val="00F32683"/>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0BA4"/>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E7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3/ca5162en/ca5162e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o.org/3/ca5162en/ca5162en.pdf" TargetMode="External"/><Relationship Id="rId17" Type="http://schemas.openxmlformats.org/officeDocument/2006/relationships/hyperlink" Target="mailto:fsn-moderator@fa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sets.fsnforum.fao.org.s3-eu-west-1.amazonaws.com/public/TEMPLATE_EN_SOFI_food_systems_transformation_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I9553EN/i9553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o.org/3/ca9692en/CA9692EN.pdf" TargetMode="External"/><Relationship Id="rId23" Type="http://schemas.openxmlformats.org/officeDocument/2006/relationships/footer" Target="footer3.xml"/><Relationship Id="rId10" Type="http://schemas.openxmlformats.org/officeDocument/2006/relationships/hyperlink" Target="http://www.fao.org/3/a-I7695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o.org/publications/sofi/en/" TargetMode="External"/><Relationship Id="rId14" Type="http://schemas.openxmlformats.org/officeDocument/2006/relationships/hyperlink" Target="http://www.fao.org/3/ca9692en/CA9692EN.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3/ca5162en/ca5162en.pdf" TargetMode="External"/><Relationship Id="rId2" Type="http://schemas.openxmlformats.org/officeDocument/2006/relationships/hyperlink" Target="http://www.fao.org/3/I9553EN/i9553en.pdf" TargetMode="External"/><Relationship Id="rId1" Type="http://schemas.openxmlformats.org/officeDocument/2006/relationships/hyperlink" Target="http://www.fao.org/3/a-I7695e.pdf" TargetMode="External"/><Relationship Id="rId4" Type="http://schemas.openxmlformats.org/officeDocument/2006/relationships/hyperlink" Target="http://www.fao.org/3/ca9692en/CA9692EN.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SOFI_transforming_food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CC670-BA40-4A9F-B746-FF455ED1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930</Words>
  <Characters>5305</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6223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8</cp:revision>
  <cp:lastPrinted>2015-10-06T13:23:00Z</cp:lastPrinted>
  <dcterms:created xsi:type="dcterms:W3CDTF">2021-02-20T04:31:00Z</dcterms:created>
  <dcterms:modified xsi:type="dcterms:W3CDTF">2021-03-10T14:20:00Z</dcterms:modified>
</cp:coreProperties>
</file>