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AD8E" w14:textId="484B8E4B" w:rsidR="00431DA4" w:rsidRDefault="00431DA4" w:rsidP="00DC5544">
      <w:pPr>
        <w:spacing w:after="0"/>
        <w:rPr>
          <w:rFonts w:cs="Arial"/>
          <w:b/>
          <w:bCs/>
          <w:color w:val="E36C0A" w:themeColor="accent6" w:themeShade="BF"/>
          <w:sz w:val="36"/>
          <w:szCs w:val="36"/>
          <w:lang w:val="es-ES_tradnl"/>
        </w:rPr>
      </w:pPr>
      <w:r w:rsidRPr="00431DA4">
        <w:rPr>
          <w:rFonts w:cs="Arial"/>
          <w:b/>
          <w:bCs/>
          <w:color w:val="E36C0A" w:themeColor="accent6" w:themeShade="BF"/>
          <w:sz w:val="36"/>
          <w:szCs w:val="36"/>
          <w:lang w:val="es-ES_tradnl"/>
        </w:rPr>
        <w:t>Convocatoria de mejores prácticas para transformar los sistemas alimentarios para contar con dietas saludables asequibles y abordar las causas principales de la inseguridad alimentaria y la malnutrición</w:t>
      </w:r>
    </w:p>
    <w:p w14:paraId="5E698F75" w14:textId="6F64F1C5" w:rsidR="00431DA4" w:rsidRDefault="00431DA4" w:rsidP="00DC5544">
      <w:pPr>
        <w:spacing w:after="0"/>
        <w:rPr>
          <w:rFonts w:cs="Arial"/>
          <w:b/>
          <w:bCs/>
          <w:color w:val="E36C0A" w:themeColor="accent6" w:themeShade="BF"/>
          <w:sz w:val="36"/>
          <w:szCs w:val="36"/>
          <w:lang w:val="es-ES_tradnl"/>
        </w:rPr>
      </w:pPr>
    </w:p>
    <w:p w14:paraId="0E9BF9D2" w14:textId="77777777" w:rsidR="00431DA4" w:rsidRDefault="00431DA4" w:rsidP="00DC5544">
      <w:pPr>
        <w:spacing w:after="0"/>
        <w:rPr>
          <w:rFonts w:cs="Arial"/>
          <w:b/>
          <w:bCs/>
          <w:color w:val="E36C0A" w:themeColor="accent6" w:themeShade="BF"/>
          <w:sz w:val="36"/>
          <w:szCs w:val="36"/>
          <w:lang w:val="es-ES_tradnl"/>
        </w:rPr>
      </w:pPr>
    </w:p>
    <w:p w14:paraId="60EC66EF" w14:textId="46675C80" w:rsidR="00431DA4" w:rsidRDefault="00431DA4" w:rsidP="00431DA4">
      <w:pPr>
        <w:rPr>
          <w:sz w:val="22"/>
          <w:lang w:val="es-ES"/>
        </w:rPr>
      </w:pPr>
      <w:bookmarkStart w:id="0" w:name="_Hlk64789303"/>
      <w:r w:rsidRPr="003360CB">
        <w:rPr>
          <w:rFonts w:ascii="Arial" w:hAnsi="Arial" w:cs="Arial"/>
          <w:b/>
          <w:noProof/>
          <w:color w:val="003B43"/>
          <w:sz w:val="20"/>
          <w:szCs w:val="20"/>
        </w:rPr>
        <w:drawing>
          <wp:anchor distT="0" distB="0" distL="114300" distR="114300" simplePos="0" relativeHeight="251659264" behindDoc="0" locked="0" layoutInCell="1" allowOverlap="1" wp14:anchorId="77B382A9" wp14:editId="065469A1">
            <wp:simplePos x="0" y="0"/>
            <wp:positionH relativeFrom="margin">
              <wp:align>right</wp:align>
            </wp:positionH>
            <wp:positionV relativeFrom="paragraph">
              <wp:posOffset>9525</wp:posOffset>
            </wp:positionV>
            <wp:extent cx="1542415" cy="21082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415" cy="2108200"/>
                    </a:xfrm>
                    <a:prstGeom prst="rect">
                      <a:avLst/>
                    </a:prstGeom>
                  </pic:spPr>
                </pic:pic>
              </a:graphicData>
            </a:graphic>
            <wp14:sizeRelH relativeFrom="page">
              <wp14:pctWidth>0</wp14:pctWidth>
            </wp14:sizeRelH>
            <wp14:sizeRelV relativeFrom="page">
              <wp14:pctHeight>0</wp14:pctHeight>
            </wp14:sizeRelV>
          </wp:anchor>
        </w:drawing>
      </w:r>
      <w:r w:rsidRPr="0084663D">
        <w:rPr>
          <w:rFonts w:cs="Arial"/>
          <w:sz w:val="22"/>
          <w:lang w:val="es-ES" w:eastAsia="en-GB"/>
        </w:rPr>
        <w:t>El equipo de redacción interinstitucional</w:t>
      </w:r>
      <w:r w:rsidRPr="0084663D">
        <w:rPr>
          <w:rStyle w:val="FootnoteReference"/>
          <w:rFonts w:cs="Arial"/>
          <w:sz w:val="22"/>
          <w:lang w:eastAsia="en-GB"/>
        </w:rPr>
        <w:footnoteReference w:id="1"/>
      </w:r>
      <w:r w:rsidRPr="0084663D">
        <w:rPr>
          <w:rFonts w:cs="Arial"/>
          <w:sz w:val="22"/>
          <w:lang w:val="es-ES" w:eastAsia="en-GB"/>
        </w:rPr>
        <w:t xml:space="preserve"> de la edición de 2021 </w:t>
      </w:r>
      <w:hyperlink r:id="rId9" w:history="1">
        <w:r w:rsidRPr="005019BB">
          <w:rPr>
            <w:rStyle w:val="Hyperlink"/>
            <w:sz w:val="22"/>
            <w:lang w:val="es-ES"/>
          </w:rPr>
          <w:t>El estado de la seguridad alimentaria y la nutrición en el mundo (SOFI)</w:t>
        </w:r>
      </w:hyperlink>
      <w:r w:rsidRPr="0084663D">
        <w:rPr>
          <w:sz w:val="22"/>
          <w:lang w:val="es-ES"/>
        </w:rPr>
        <w:t xml:space="preserve"> le invita a compartir las mejores prácticas y lecciones aprendidas sobre lo que se necesita -de forma muy práctica e innovadora- para transformar los sistemas alimentarios </w:t>
      </w:r>
      <w:r>
        <w:rPr>
          <w:sz w:val="22"/>
          <w:lang w:val="es-ES"/>
        </w:rPr>
        <w:t>y</w:t>
      </w:r>
      <w:r w:rsidRPr="0084663D">
        <w:rPr>
          <w:sz w:val="22"/>
          <w:lang w:val="es-ES"/>
        </w:rPr>
        <w:t xml:space="preserve"> mejorar el acceso a alimentos nutritivos y dietas saludables asequibles.</w:t>
      </w:r>
    </w:p>
    <w:bookmarkEnd w:id="0"/>
    <w:p w14:paraId="7352BCE3" w14:textId="77777777" w:rsidR="00431DA4" w:rsidRDefault="00431DA4" w:rsidP="00431DA4">
      <w:pPr>
        <w:rPr>
          <w:rFonts w:cs="Arial"/>
          <w:sz w:val="22"/>
          <w:lang w:val="es-ES" w:eastAsia="en-GB"/>
        </w:rPr>
      </w:pPr>
      <w:r w:rsidRPr="0084663D">
        <w:rPr>
          <w:rFonts w:cs="Arial"/>
          <w:sz w:val="22"/>
          <w:lang w:val="es-ES" w:eastAsia="en-GB"/>
        </w:rPr>
        <w:t>Las ediciones anteriores del informe SOFI</w:t>
      </w:r>
      <w:r w:rsidRPr="0084663D">
        <w:rPr>
          <w:rStyle w:val="FootnoteReference"/>
          <w:rFonts w:cs="Arial"/>
          <w:sz w:val="22"/>
          <w:lang w:eastAsia="en-GB"/>
        </w:rPr>
        <w:footnoteReference w:id="2"/>
      </w:r>
      <w:r w:rsidRPr="0084663D">
        <w:rPr>
          <w:rFonts w:cs="Arial"/>
          <w:sz w:val="22"/>
          <w:lang w:val="es-ES" w:eastAsia="en-GB"/>
        </w:rPr>
        <w:t xml:space="preserve"> han puesto de manifiesto cómo los principales factores, entre ellos</w:t>
      </w:r>
      <w:r>
        <w:rPr>
          <w:rFonts w:cs="Arial"/>
          <w:sz w:val="22"/>
          <w:lang w:val="es-ES" w:eastAsia="en-GB"/>
        </w:rPr>
        <w:t xml:space="preserve"> los</w:t>
      </w:r>
      <w:r w:rsidRPr="0084663D">
        <w:rPr>
          <w:rFonts w:cs="Arial"/>
          <w:sz w:val="22"/>
          <w:lang w:val="es-ES" w:eastAsia="en-GB"/>
        </w:rPr>
        <w:t xml:space="preserve"> </w:t>
      </w:r>
      <w:hyperlink r:id="rId10" w:history="1">
        <w:r>
          <w:rPr>
            <w:rStyle w:val="Hyperlink"/>
            <w:rFonts w:cs="Arial"/>
            <w:sz w:val="22"/>
            <w:lang w:val="es-ES" w:eastAsia="en-GB"/>
          </w:rPr>
          <w:t>conflictos y luchas civiles</w:t>
        </w:r>
      </w:hyperlink>
      <w:r w:rsidRPr="0084663D">
        <w:rPr>
          <w:rFonts w:cs="Arial"/>
          <w:sz w:val="22"/>
          <w:lang w:val="es-ES" w:eastAsia="en-GB"/>
        </w:rPr>
        <w:t xml:space="preserve">, </w:t>
      </w:r>
      <w:r>
        <w:rPr>
          <w:rFonts w:cs="Arial"/>
          <w:sz w:val="22"/>
          <w:lang w:val="es-ES" w:eastAsia="en-GB"/>
        </w:rPr>
        <w:t xml:space="preserve">la </w:t>
      </w:r>
      <w:hyperlink r:id="rId11" w:history="1">
        <w:r>
          <w:rPr>
            <w:rStyle w:val="Hyperlink"/>
            <w:rFonts w:cs="Arial"/>
            <w:sz w:val="22"/>
            <w:lang w:val="es-ES" w:eastAsia="en-GB"/>
          </w:rPr>
          <w:t>variabilidad y las condiciones extremas del clima</w:t>
        </w:r>
      </w:hyperlink>
      <w:r w:rsidRPr="0084663D">
        <w:rPr>
          <w:rFonts w:cs="Arial"/>
          <w:sz w:val="22"/>
          <w:lang w:val="es-ES" w:eastAsia="en-GB"/>
        </w:rPr>
        <w:t xml:space="preserve">, las </w:t>
      </w:r>
      <w:hyperlink r:id="rId12" w:history="1">
        <w:r w:rsidRPr="00BF0880">
          <w:rPr>
            <w:rStyle w:val="Hyperlink"/>
            <w:rFonts w:cs="Arial"/>
            <w:sz w:val="22"/>
            <w:lang w:val="es-ES" w:eastAsia="en-GB"/>
          </w:rPr>
          <w:t>desaceleraciones y recesiones económicas</w:t>
        </w:r>
      </w:hyperlink>
      <w:r w:rsidRPr="0084663D">
        <w:rPr>
          <w:rFonts w:cs="Arial"/>
          <w:sz w:val="22"/>
          <w:lang w:val="es-ES" w:eastAsia="en-GB"/>
        </w:rPr>
        <w:t xml:space="preserve">, la </w:t>
      </w:r>
      <w:hyperlink r:id="rId13" w:history="1">
        <w:r w:rsidRPr="00BF0880">
          <w:rPr>
            <w:rStyle w:val="Hyperlink"/>
            <w:rFonts w:cs="Arial"/>
            <w:sz w:val="22"/>
            <w:lang w:val="es-ES" w:eastAsia="en-GB"/>
          </w:rPr>
          <w:t>persistencia de la pobreza y la desigualdad</w:t>
        </w:r>
      </w:hyperlink>
      <w:r w:rsidRPr="0084663D">
        <w:rPr>
          <w:rFonts w:cs="Arial"/>
          <w:sz w:val="22"/>
          <w:lang w:val="es-ES" w:eastAsia="en-GB"/>
        </w:rPr>
        <w:t xml:space="preserve">, y ahora la </w:t>
      </w:r>
      <w:hyperlink r:id="rId14" w:history="1">
        <w:r w:rsidRPr="00BF0880">
          <w:rPr>
            <w:rStyle w:val="Hyperlink"/>
            <w:rFonts w:cs="Arial"/>
            <w:sz w:val="22"/>
            <w:lang w:val="es-ES" w:eastAsia="en-GB"/>
          </w:rPr>
          <w:t>pandemia de COVID-19</w:t>
        </w:r>
      </w:hyperlink>
      <w:r w:rsidRPr="0084663D">
        <w:rPr>
          <w:rFonts w:cs="Arial"/>
          <w:sz w:val="22"/>
          <w:lang w:val="es-ES" w:eastAsia="en-GB"/>
        </w:rPr>
        <w:t>, están empeorando el estado de la seguridad alimentaria y la nutrición en el mundo e impiden que cientos de millones de personas tengan acceso a alimentos nutritivos.</w:t>
      </w:r>
    </w:p>
    <w:p w14:paraId="5A72036B" w14:textId="77777777" w:rsidR="00431DA4" w:rsidRDefault="00431DA4" w:rsidP="00431DA4">
      <w:pPr>
        <w:rPr>
          <w:sz w:val="22"/>
          <w:lang w:val="es-ES"/>
        </w:rPr>
      </w:pPr>
      <w:r w:rsidRPr="0084663D">
        <w:rPr>
          <w:rFonts w:cs="Arial"/>
          <w:sz w:val="22"/>
          <w:lang w:val="es-ES" w:eastAsia="en-GB"/>
        </w:rPr>
        <w:t xml:space="preserve">Las últimas tendencias hablan por sí solas: el hambre en el mundo está aumentando. Se ha incrementado en 10 millones de personas en 2019, y casi 60 millones en cinco años. La pandemia de COVID-19 está acelerando este aumento, sumando 132 millones de personas más en 2020 según las estimaciones preliminares. Al mismo tiempo, los progresos en la reducción del retraso en el crecimiento y la emaciación </w:t>
      </w:r>
      <w:r>
        <w:rPr>
          <w:rFonts w:cs="Arial"/>
          <w:sz w:val="22"/>
          <w:lang w:val="es-ES" w:eastAsia="en-GB"/>
        </w:rPr>
        <w:t>infantil</w:t>
      </w:r>
      <w:r w:rsidRPr="0084663D">
        <w:rPr>
          <w:rFonts w:cs="Arial"/>
          <w:sz w:val="22"/>
          <w:lang w:val="es-ES" w:eastAsia="en-GB"/>
        </w:rPr>
        <w:t xml:space="preserve"> se están ralentizando, y el sobrepeso y la obesidad siguen creciendo tanto en los países ricos como en los pobres.</w:t>
      </w:r>
      <w:r w:rsidRPr="0084663D">
        <w:rPr>
          <w:rFonts w:cs="Arial"/>
          <w:sz w:val="22"/>
          <w:lang w:val="es-ES"/>
        </w:rPr>
        <w:t xml:space="preserve"> </w:t>
      </w:r>
      <w:hyperlink r:id="rId15" w:history="1">
        <w:r w:rsidRPr="0084663D">
          <w:rPr>
            <w:rStyle w:val="Hyperlink"/>
            <w:sz w:val="22"/>
            <w:lang w:val="es-ES"/>
          </w:rPr>
          <w:t>Más de 3 000 millones de personas en el mundo no pueden permitirse una dieta saludable</w:t>
        </w:r>
      </w:hyperlink>
      <w:r w:rsidRPr="0084663D">
        <w:rPr>
          <w:sz w:val="22"/>
          <w:lang w:val="es-ES"/>
        </w:rPr>
        <w:t>.</w:t>
      </w:r>
    </w:p>
    <w:p w14:paraId="2D910E66" w14:textId="77777777" w:rsidR="00431DA4" w:rsidRPr="0084663D" w:rsidRDefault="00431DA4" w:rsidP="00431DA4">
      <w:pPr>
        <w:shd w:val="clear" w:color="auto" w:fill="FFFFFF"/>
        <w:spacing w:after="150"/>
        <w:rPr>
          <w:rFonts w:cs="Arial"/>
          <w:sz w:val="22"/>
          <w:lang w:val="es-ES" w:eastAsia="en-GB"/>
        </w:rPr>
      </w:pPr>
      <w:r w:rsidRPr="0084663D">
        <w:rPr>
          <w:rFonts w:cs="Arial"/>
          <w:sz w:val="22"/>
          <w:lang w:val="es-ES" w:eastAsia="en-GB"/>
        </w:rPr>
        <w:lastRenderedPageBreak/>
        <w:t xml:space="preserve">En resumen, el mundo actual </w:t>
      </w:r>
      <w:r w:rsidRPr="00BF0880">
        <w:rPr>
          <w:rFonts w:cs="Arial"/>
          <w:sz w:val="22"/>
          <w:u w:val="single"/>
          <w:lang w:val="es-ES" w:eastAsia="en-GB"/>
        </w:rPr>
        <w:t>no</w:t>
      </w:r>
      <w:r w:rsidRPr="0084663D">
        <w:rPr>
          <w:rFonts w:cs="Arial"/>
          <w:sz w:val="22"/>
          <w:lang w:val="es-ES" w:eastAsia="en-GB"/>
        </w:rPr>
        <w:t xml:space="preserve"> está en camino de acabar con el hambre, la inseguridad alimentaria y la malnutrición en todas sus formas para 2030 (Objetivo de Desarrollo Sostenible/ODS</w:t>
      </w:r>
      <w:r>
        <w:rPr>
          <w:rFonts w:cs="Arial"/>
          <w:sz w:val="22"/>
          <w:lang w:val="es-ES" w:eastAsia="en-GB"/>
        </w:rPr>
        <w:t xml:space="preserve"> </w:t>
      </w:r>
      <w:r w:rsidRPr="0084663D">
        <w:rPr>
          <w:rFonts w:cs="Arial"/>
          <w:sz w:val="22"/>
          <w:lang w:val="es-ES" w:eastAsia="en-GB"/>
        </w:rPr>
        <w:t xml:space="preserve">2). Para avanzar hacia la consecución del ODS 2 </w:t>
      </w:r>
      <w:r>
        <w:rPr>
          <w:rFonts w:cs="Arial"/>
          <w:sz w:val="22"/>
          <w:lang w:val="es-ES" w:eastAsia="en-GB"/>
        </w:rPr>
        <w:t>-</w:t>
      </w:r>
      <w:r w:rsidRPr="0084663D">
        <w:rPr>
          <w:rFonts w:cs="Arial"/>
          <w:sz w:val="22"/>
          <w:lang w:val="es-ES" w:eastAsia="en-GB"/>
        </w:rPr>
        <w:t>y de otros ODS</w:t>
      </w:r>
      <w:r>
        <w:rPr>
          <w:rFonts w:cs="Arial"/>
          <w:sz w:val="22"/>
          <w:lang w:val="es-ES" w:eastAsia="en-GB"/>
        </w:rPr>
        <w:t>-</w:t>
      </w:r>
      <w:r w:rsidRPr="0084663D">
        <w:rPr>
          <w:rFonts w:cs="Arial"/>
          <w:sz w:val="22"/>
          <w:lang w:val="es-ES" w:eastAsia="en-GB"/>
        </w:rPr>
        <w:t xml:space="preserve"> será necesario alejarse de soluciones aisladas y adoptar soluciones complementarias para los sistemas alimentarios, así como carteras de políticas e inversiones que aborden estos retos mundiales en materia de seguridad alimentaria y nutrición. </w:t>
      </w:r>
    </w:p>
    <w:p w14:paraId="30E22F14" w14:textId="77777777" w:rsidR="00431DA4" w:rsidRPr="0084663D" w:rsidRDefault="00431DA4" w:rsidP="00431DA4">
      <w:pPr>
        <w:shd w:val="clear" w:color="auto" w:fill="FFFFFF"/>
        <w:spacing w:after="150"/>
        <w:rPr>
          <w:rFonts w:cs="Arial"/>
          <w:sz w:val="22"/>
          <w:lang w:val="es-ES" w:eastAsia="en-GB"/>
        </w:rPr>
      </w:pPr>
      <w:r w:rsidRPr="0084663D">
        <w:rPr>
          <w:rFonts w:cs="Arial"/>
          <w:sz w:val="22"/>
          <w:lang w:val="es-ES" w:eastAsia="en-GB"/>
        </w:rPr>
        <w:t xml:space="preserve">Los sistemas alimentarios no </w:t>
      </w:r>
      <w:r>
        <w:rPr>
          <w:rFonts w:cs="Arial"/>
          <w:sz w:val="22"/>
          <w:lang w:val="es-ES" w:eastAsia="en-GB"/>
        </w:rPr>
        <w:t>están siendo capaces de</w:t>
      </w:r>
      <w:r w:rsidRPr="0084663D">
        <w:rPr>
          <w:rFonts w:cs="Arial"/>
          <w:sz w:val="22"/>
          <w:lang w:val="es-ES" w:eastAsia="en-GB"/>
        </w:rPr>
        <w:t xml:space="preserve"> garantizar alimentos nutritivos y asequibles para</w:t>
      </w:r>
      <w:r>
        <w:rPr>
          <w:rFonts w:cs="Arial"/>
          <w:sz w:val="22"/>
          <w:lang w:val="es-ES" w:eastAsia="en-GB"/>
        </w:rPr>
        <w:t xml:space="preserve"> conformar</w:t>
      </w:r>
      <w:r w:rsidRPr="0084663D">
        <w:rPr>
          <w:rFonts w:cs="Arial"/>
          <w:sz w:val="22"/>
          <w:lang w:val="es-ES" w:eastAsia="en-GB"/>
        </w:rPr>
        <w:t xml:space="preserve"> unas dietas saludables, y </w:t>
      </w:r>
      <w:r>
        <w:rPr>
          <w:rFonts w:cs="Arial"/>
          <w:sz w:val="22"/>
          <w:lang w:val="es-ES" w:eastAsia="en-GB"/>
        </w:rPr>
        <w:t xml:space="preserve">la dificultad es mayor en vista de </w:t>
      </w:r>
      <w:r w:rsidRPr="0084663D">
        <w:rPr>
          <w:rFonts w:cs="Arial"/>
          <w:sz w:val="22"/>
          <w:lang w:val="es-ES" w:eastAsia="en-GB"/>
        </w:rPr>
        <w:t xml:space="preserve">los factores </w:t>
      </w:r>
      <w:r>
        <w:rPr>
          <w:rFonts w:cs="Arial"/>
          <w:sz w:val="22"/>
          <w:lang w:val="es-ES" w:eastAsia="en-GB"/>
        </w:rPr>
        <w:t xml:space="preserve">fundamentales </w:t>
      </w:r>
      <w:r w:rsidRPr="0084663D">
        <w:rPr>
          <w:rFonts w:cs="Arial"/>
          <w:sz w:val="22"/>
          <w:lang w:val="es-ES" w:eastAsia="en-GB"/>
        </w:rPr>
        <w:t xml:space="preserve">que mencionamos anteriormente. Por otro lado, </w:t>
      </w:r>
      <w:r w:rsidRPr="00BF0880">
        <w:rPr>
          <w:rFonts w:cs="Arial"/>
          <w:b/>
          <w:bCs/>
          <w:sz w:val="22"/>
          <w:lang w:val="es-ES" w:eastAsia="en-GB"/>
        </w:rPr>
        <w:t>si los sistemas alimentarios se transforman de manera que se refuerza su resiliencia frente a las causas principales de la inseguridad alimentaria y la malnutrición y se incentivan para proporcionar dietas asequibles y saludables de forma sostenible e inclusiva</w:t>
      </w:r>
      <w:r w:rsidRPr="0084663D">
        <w:rPr>
          <w:rFonts w:cs="Arial"/>
          <w:sz w:val="22"/>
          <w:lang w:val="es-ES" w:eastAsia="en-GB"/>
        </w:rPr>
        <w:t>, pueden encaminarnos hacia la consecución del ODS</w:t>
      </w:r>
      <w:r>
        <w:rPr>
          <w:rFonts w:cs="Arial"/>
          <w:sz w:val="22"/>
          <w:lang w:val="es-ES" w:eastAsia="en-GB"/>
        </w:rPr>
        <w:t xml:space="preserve"> </w:t>
      </w:r>
      <w:r w:rsidRPr="0084663D">
        <w:rPr>
          <w:rFonts w:cs="Arial"/>
          <w:sz w:val="22"/>
          <w:lang w:val="es-ES" w:eastAsia="en-GB"/>
        </w:rPr>
        <w:t>2.</w:t>
      </w:r>
    </w:p>
    <w:p w14:paraId="7034EBCD" w14:textId="77777777" w:rsidR="00431DA4" w:rsidRPr="00F76298" w:rsidRDefault="00431DA4" w:rsidP="00431DA4">
      <w:pPr>
        <w:shd w:val="clear" w:color="auto" w:fill="FFFFFF"/>
        <w:spacing w:after="150"/>
        <w:rPr>
          <w:rFonts w:cs="Arial"/>
          <w:sz w:val="22"/>
          <w:lang w:val="es-ES" w:eastAsia="en-GB"/>
        </w:rPr>
      </w:pPr>
      <w:r w:rsidRPr="00F76298">
        <w:rPr>
          <w:rFonts w:cs="Arial"/>
          <w:sz w:val="22"/>
          <w:lang w:val="es-ES" w:eastAsia="en-GB"/>
        </w:rPr>
        <w:t>Teniendo en cuenta lo anterior, les invitamos a compartir ejemplos ilustrativos a nivel de país de cómo se han transformado (o se están transformando) los sistemas alimentarios con una mayor resiliencia frente a los factores clave y garantizando un mayor acceso y asequibilidad de alimentos nutritivos y dietas saludables. Los desafíos para lograr estos cambios transformadores</w:t>
      </w:r>
      <w:r w:rsidRPr="00ED1CE0">
        <w:rPr>
          <w:rStyle w:val="FootnoteReference"/>
          <w:rFonts w:cs="Arial"/>
          <w:sz w:val="22"/>
          <w:lang w:eastAsia="en-GB"/>
        </w:rPr>
        <w:footnoteReference w:id="3"/>
      </w:r>
      <w:r w:rsidRPr="00F76298">
        <w:rPr>
          <w:rFonts w:cs="Arial"/>
          <w:sz w:val="22"/>
          <w:lang w:val="es-ES" w:eastAsia="en-GB"/>
        </w:rPr>
        <w:t xml:space="preserve"> son inmensos y requieren que capitalicemos soluciones que beneficien a todos, en las que se gestionen eficazmente las compensaciones y las oportunidades de eficiencia. </w:t>
      </w:r>
    </w:p>
    <w:p w14:paraId="39471A00" w14:textId="77777777" w:rsidR="00431DA4" w:rsidRPr="00F76298" w:rsidRDefault="00431DA4" w:rsidP="00431DA4">
      <w:pPr>
        <w:shd w:val="clear" w:color="auto" w:fill="FFFFFF"/>
        <w:spacing w:after="150"/>
        <w:rPr>
          <w:rFonts w:cs="Arial"/>
          <w:sz w:val="22"/>
          <w:lang w:val="es-ES" w:eastAsia="en-GB"/>
        </w:rPr>
      </w:pPr>
      <w:r w:rsidRPr="00F76298">
        <w:rPr>
          <w:rFonts w:cs="Arial"/>
          <w:sz w:val="22"/>
          <w:lang w:val="es-ES" w:eastAsia="en-GB"/>
        </w:rPr>
        <w:t>Si tiene una historia convincente que contar, o mejores prácticas o lecciones aprendidas que compartir sobre la mejor manera de abordar estos desafíos, nos gustaría invitarle a centrarse en los objetivos combinados (</w:t>
      </w:r>
      <w:r w:rsidRPr="00F7197E">
        <w:rPr>
          <w:rFonts w:cs="Arial"/>
          <w:b/>
          <w:bCs/>
          <w:sz w:val="22"/>
          <w:lang w:val="es-ES" w:eastAsia="en-GB"/>
        </w:rPr>
        <w:t>resiliencia de los sistemas alimentarios frente a las principales causas de la seguridad alimentaria y la nutrición y asequibilidad</w:t>
      </w:r>
      <w:r w:rsidRPr="00F76298">
        <w:rPr>
          <w:rFonts w:cs="Arial"/>
          <w:sz w:val="22"/>
          <w:lang w:val="es-ES" w:eastAsia="en-GB"/>
        </w:rPr>
        <w:t xml:space="preserve"> de dietas saludables para todos).</w:t>
      </w:r>
    </w:p>
    <w:p w14:paraId="77BD35A8" w14:textId="33A823BC" w:rsidR="00431DA4" w:rsidRPr="00F76298" w:rsidRDefault="00431DA4" w:rsidP="00431DA4">
      <w:pPr>
        <w:shd w:val="clear" w:color="auto" w:fill="FFFFFF"/>
        <w:spacing w:after="150"/>
        <w:rPr>
          <w:rFonts w:cs="Arial"/>
          <w:b/>
          <w:bCs/>
          <w:sz w:val="22"/>
          <w:lang w:val="es-ES" w:eastAsia="en-GB"/>
        </w:rPr>
      </w:pPr>
      <w:r w:rsidRPr="00F76298">
        <w:rPr>
          <w:rFonts w:cs="Arial"/>
          <w:b/>
          <w:bCs/>
          <w:sz w:val="22"/>
          <w:lang w:val="es-ES" w:eastAsia="en-GB"/>
        </w:rPr>
        <w:t xml:space="preserve">Utilice el </w:t>
      </w:r>
      <w:hyperlink r:id="rId16" w:history="1">
        <w:r w:rsidRPr="00EE76F8">
          <w:rPr>
            <w:rStyle w:val="Hyperlink"/>
            <w:rFonts w:cs="Arial"/>
            <w:b/>
            <w:sz w:val="22"/>
            <w:lang w:val="es-ES" w:eastAsia="en-GB"/>
          </w:rPr>
          <w:t>formulario de inscripción</w:t>
        </w:r>
      </w:hyperlink>
      <w:r w:rsidRPr="00F7197E">
        <w:rPr>
          <w:rFonts w:cs="Arial"/>
          <w:b/>
          <w:bCs/>
          <w:color w:val="4F81BD" w:themeColor="accent1"/>
          <w:sz w:val="22"/>
          <w:lang w:val="es-ES" w:eastAsia="en-GB"/>
        </w:rPr>
        <w:t xml:space="preserve"> </w:t>
      </w:r>
      <w:r w:rsidRPr="00F76298">
        <w:rPr>
          <w:rFonts w:cs="Arial"/>
          <w:b/>
          <w:bCs/>
          <w:sz w:val="22"/>
          <w:lang w:val="es-ES" w:eastAsia="en-GB"/>
        </w:rPr>
        <w:t>para compartir sus ejemplos y experiencias</w:t>
      </w:r>
      <w:r w:rsidR="007000C5">
        <w:rPr>
          <w:rFonts w:cs="Arial"/>
          <w:b/>
          <w:bCs/>
          <w:sz w:val="22"/>
          <w:lang w:val="es-ES" w:eastAsia="en-GB"/>
        </w:rPr>
        <w:t>.</w:t>
      </w:r>
      <w:r w:rsidRPr="00F76298">
        <w:rPr>
          <w:rFonts w:cs="Arial"/>
          <w:b/>
          <w:bCs/>
          <w:sz w:val="22"/>
          <w:lang w:val="es-ES" w:eastAsia="en-GB"/>
        </w:rPr>
        <w:t> </w:t>
      </w:r>
    </w:p>
    <w:p w14:paraId="30C06F0F" w14:textId="77777777" w:rsidR="00431DA4" w:rsidRPr="001E1A50" w:rsidRDefault="00431DA4" w:rsidP="00431DA4">
      <w:pPr>
        <w:shd w:val="clear" w:color="auto" w:fill="FFFFFF"/>
        <w:spacing w:after="150"/>
        <w:rPr>
          <w:rFonts w:cs="Arial"/>
          <w:sz w:val="22"/>
          <w:lang w:eastAsia="en-GB"/>
        </w:rPr>
      </w:pPr>
      <w:r w:rsidRPr="00F76298">
        <w:rPr>
          <w:rFonts w:cs="Arial"/>
          <w:sz w:val="22"/>
          <w:lang w:val="es-ES" w:eastAsia="en-GB"/>
        </w:rPr>
        <w:t xml:space="preserve">Los cofacilitadores de esta convocatoria harán una selección de las mejores prácticas presentadas, que recopilarán en un documento técnico de referencia, en el que se reconocerá a los autores de los estudios de caso. Este documento se incorporará a la edición de 2021 de El estado de la seguridad alimentaria y la nutrición en el mundo (que se publicará en julio de 2021). </w:t>
      </w:r>
      <w:r w:rsidRPr="00F7197E">
        <w:rPr>
          <w:rFonts w:cs="Arial"/>
          <w:b/>
          <w:bCs/>
          <w:sz w:val="22"/>
          <w:lang w:eastAsia="en-GB"/>
        </w:rPr>
        <w:t>En el proceso de selección, tendremos en cuenta</w:t>
      </w:r>
      <w:r w:rsidRPr="001E1A50">
        <w:rPr>
          <w:rFonts w:cs="Arial"/>
          <w:b/>
          <w:bCs/>
          <w:sz w:val="22"/>
          <w:lang w:eastAsia="en-GB"/>
        </w:rPr>
        <w:t>:</w:t>
      </w:r>
    </w:p>
    <w:p w14:paraId="61716432" w14:textId="77777777" w:rsidR="00431DA4" w:rsidRPr="00F76298" w:rsidRDefault="00431DA4" w:rsidP="00431DA4">
      <w:pPr>
        <w:pStyle w:val="ListParagraph"/>
        <w:numPr>
          <w:ilvl w:val="0"/>
          <w:numId w:val="35"/>
        </w:numPr>
        <w:shd w:val="clear" w:color="auto" w:fill="FFFFFF"/>
        <w:spacing w:after="150" w:line="240" w:lineRule="auto"/>
        <w:contextualSpacing/>
        <w:rPr>
          <w:rFonts w:cs="Arial"/>
          <w:sz w:val="22"/>
          <w:lang w:val="es-ES" w:eastAsia="en-GB"/>
        </w:rPr>
      </w:pPr>
      <w:r w:rsidRPr="00F76298">
        <w:rPr>
          <w:rFonts w:cs="Arial"/>
          <w:b/>
          <w:bCs/>
          <w:sz w:val="22"/>
          <w:lang w:val="es-ES" w:eastAsia="en-GB"/>
        </w:rPr>
        <w:t>Aplicabilidad y relevancia</w:t>
      </w:r>
      <w:r w:rsidRPr="00F76298">
        <w:rPr>
          <w:rFonts w:cs="Arial"/>
          <w:sz w:val="22"/>
          <w:lang w:val="es-ES" w:eastAsia="en-GB"/>
        </w:rPr>
        <w:t>: iniciativas representativas de las realidades de diferentes países con perspectivas regionales y globales.</w:t>
      </w:r>
    </w:p>
    <w:p w14:paraId="561DB285" w14:textId="0087EBE1" w:rsidR="00431DA4" w:rsidRPr="00F76298" w:rsidRDefault="00431DA4" w:rsidP="00431DA4">
      <w:pPr>
        <w:pStyle w:val="ListParagraph"/>
        <w:numPr>
          <w:ilvl w:val="0"/>
          <w:numId w:val="35"/>
        </w:numPr>
        <w:shd w:val="clear" w:color="auto" w:fill="FFFFFF"/>
        <w:spacing w:after="150" w:line="240" w:lineRule="auto"/>
        <w:ind w:right="-142"/>
        <w:contextualSpacing/>
        <w:rPr>
          <w:rFonts w:cs="Arial"/>
          <w:sz w:val="22"/>
          <w:lang w:val="es-ES" w:eastAsia="en-GB"/>
        </w:rPr>
      </w:pPr>
      <w:r w:rsidRPr="00F76298">
        <w:rPr>
          <w:rFonts w:cs="Arial"/>
          <w:b/>
          <w:bCs/>
          <w:sz w:val="22"/>
          <w:lang w:val="es-ES" w:eastAsia="en-GB"/>
        </w:rPr>
        <w:t xml:space="preserve">Políticas, inversiones y otras intervenciones </w:t>
      </w:r>
      <w:r w:rsidRPr="00F76298">
        <w:rPr>
          <w:rFonts w:cs="Arial"/>
          <w:sz w:val="22"/>
          <w:lang w:val="es-ES" w:eastAsia="en-GB"/>
        </w:rPr>
        <w:t>en todos los sectores que abordan dos o más factores clave de la inseguridad alimentaria y la malnutrición</w:t>
      </w:r>
      <w:r w:rsidR="00F71DEC">
        <w:rPr>
          <w:rFonts w:cs="Arial"/>
          <w:sz w:val="22"/>
          <w:lang w:val="es-ES" w:eastAsia="en-GB"/>
        </w:rPr>
        <w:t xml:space="preserve"> </w:t>
      </w:r>
      <w:r w:rsidR="00F71DEC" w:rsidRPr="00F71DEC">
        <w:rPr>
          <w:rFonts w:cs="Arial"/>
          <w:sz w:val="22"/>
          <w:lang w:val="es-ES" w:eastAsia="en-GB"/>
        </w:rPr>
        <w:t>en todas sus formas</w:t>
      </w:r>
      <w:r w:rsidRPr="00F76298">
        <w:rPr>
          <w:rFonts w:cs="Arial"/>
          <w:sz w:val="22"/>
          <w:lang w:val="es-ES" w:eastAsia="en-GB"/>
        </w:rPr>
        <w:t xml:space="preserve">, incluidos los conflictos, la variabilidad y </w:t>
      </w:r>
      <w:r>
        <w:rPr>
          <w:rFonts w:cs="Arial"/>
          <w:sz w:val="22"/>
          <w:lang w:val="es-ES" w:eastAsia="en-GB"/>
        </w:rPr>
        <w:t>las condiciones</w:t>
      </w:r>
      <w:r w:rsidRPr="00F76298">
        <w:rPr>
          <w:rFonts w:cs="Arial"/>
          <w:sz w:val="22"/>
          <w:lang w:val="es-ES" w:eastAsia="en-GB"/>
        </w:rPr>
        <w:t xml:space="preserve"> extrem</w:t>
      </w:r>
      <w:r>
        <w:rPr>
          <w:rFonts w:cs="Arial"/>
          <w:sz w:val="22"/>
          <w:lang w:val="es-ES" w:eastAsia="en-GB"/>
        </w:rPr>
        <w:t>a</w:t>
      </w:r>
      <w:r w:rsidRPr="00F76298">
        <w:rPr>
          <w:rFonts w:cs="Arial"/>
          <w:sz w:val="22"/>
          <w:lang w:val="es-ES" w:eastAsia="en-GB"/>
        </w:rPr>
        <w:t xml:space="preserve">s </w:t>
      </w:r>
      <w:r>
        <w:rPr>
          <w:rFonts w:cs="Arial"/>
          <w:sz w:val="22"/>
          <w:lang w:val="es-ES" w:eastAsia="en-GB"/>
        </w:rPr>
        <w:t>del clima</w:t>
      </w:r>
      <w:r w:rsidRPr="00F76298">
        <w:rPr>
          <w:rFonts w:cs="Arial"/>
          <w:sz w:val="22"/>
          <w:lang w:val="es-ES" w:eastAsia="en-GB"/>
        </w:rPr>
        <w:t>, las desaceleraciones y recesiones económicas, la pobreza y la desigualdad persistentes, y las consecuencias económicas y sanitarias de la COVID-19.</w:t>
      </w:r>
    </w:p>
    <w:p w14:paraId="4C5688C9" w14:textId="4ED61813" w:rsidR="00431DA4" w:rsidRPr="00230F6F" w:rsidRDefault="00431DA4" w:rsidP="00431DA4">
      <w:pPr>
        <w:pStyle w:val="ListParagraph"/>
        <w:numPr>
          <w:ilvl w:val="0"/>
          <w:numId w:val="35"/>
        </w:numPr>
        <w:shd w:val="clear" w:color="auto" w:fill="FFFFFF"/>
        <w:spacing w:after="150" w:line="240" w:lineRule="auto"/>
        <w:contextualSpacing/>
        <w:rPr>
          <w:rFonts w:cs="Arial"/>
          <w:sz w:val="22"/>
          <w:lang w:val="es-ES" w:eastAsia="en-GB"/>
        </w:rPr>
      </w:pPr>
      <w:r w:rsidRPr="00230F6F">
        <w:rPr>
          <w:rFonts w:cs="Arial"/>
          <w:b/>
          <w:bCs/>
          <w:sz w:val="22"/>
          <w:lang w:val="es-ES" w:eastAsia="en-GB"/>
        </w:rPr>
        <w:t xml:space="preserve">Participación de los actores del sector público y privado, </w:t>
      </w:r>
      <w:r w:rsidRPr="00230F6F">
        <w:rPr>
          <w:rFonts w:cs="Arial"/>
          <w:sz w:val="22"/>
          <w:lang w:val="es-ES" w:eastAsia="en-GB"/>
        </w:rPr>
        <w:t xml:space="preserve">incluidas las diferentes instituciones gubernamentales, las comunidades locales, la sociedad civil, los actores de la cadena de suministro alimentario, </w:t>
      </w:r>
      <w:r w:rsidR="00F71DEC" w:rsidRPr="00F71DEC">
        <w:rPr>
          <w:rFonts w:cs="Arial"/>
          <w:sz w:val="22"/>
          <w:lang w:val="es-ES" w:eastAsia="en-GB"/>
        </w:rPr>
        <w:t xml:space="preserve">el entorno alimentario, </w:t>
      </w:r>
      <w:r w:rsidRPr="00230F6F">
        <w:rPr>
          <w:rFonts w:cs="Arial"/>
          <w:sz w:val="22"/>
          <w:lang w:val="es-ES" w:eastAsia="en-GB"/>
        </w:rPr>
        <w:t>los consumidores y otros.</w:t>
      </w:r>
    </w:p>
    <w:p w14:paraId="2ECA5326" w14:textId="77777777" w:rsidR="00431DA4" w:rsidRPr="00230F6F" w:rsidRDefault="00431DA4" w:rsidP="00431DA4">
      <w:pPr>
        <w:pStyle w:val="ListParagraph"/>
        <w:numPr>
          <w:ilvl w:val="0"/>
          <w:numId w:val="35"/>
        </w:numPr>
        <w:shd w:val="clear" w:color="auto" w:fill="FFFFFF"/>
        <w:spacing w:after="150" w:line="240" w:lineRule="auto"/>
        <w:contextualSpacing/>
        <w:rPr>
          <w:rFonts w:cs="Arial"/>
          <w:b/>
          <w:bCs/>
          <w:sz w:val="22"/>
          <w:lang w:val="es-ES" w:eastAsia="en-GB"/>
        </w:rPr>
      </w:pPr>
      <w:r w:rsidRPr="00230F6F">
        <w:rPr>
          <w:rFonts w:cs="Arial"/>
          <w:sz w:val="22"/>
          <w:lang w:val="es-ES" w:eastAsia="en-GB"/>
        </w:rPr>
        <w:t>Medida en que la innovación/acción transformadora ha contribuido a ampliar</w:t>
      </w:r>
      <w:r w:rsidRPr="00230F6F">
        <w:rPr>
          <w:rFonts w:cs="Arial"/>
          <w:b/>
          <w:bCs/>
          <w:sz w:val="22"/>
          <w:lang w:val="es-ES" w:eastAsia="en-GB"/>
        </w:rPr>
        <w:t xml:space="preserve"> el acceso a los alimentos nutritivos y la asequibilidad de las dietas saludables.</w:t>
      </w:r>
    </w:p>
    <w:p w14:paraId="22E4A143" w14:textId="77777777" w:rsidR="00431DA4" w:rsidRPr="00230F6F" w:rsidRDefault="00431DA4" w:rsidP="00431DA4">
      <w:pPr>
        <w:pStyle w:val="ListParagraph"/>
        <w:numPr>
          <w:ilvl w:val="0"/>
          <w:numId w:val="35"/>
        </w:numPr>
        <w:shd w:val="clear" w:color="auto" w:fill="FFFFFF"/>
        <w:spacing w:after="150" w:line="240" w:lineRule="auto"/>
        <w:contextualSpacing/>
        <w:rPr>
          <w:rFonts w:cs="Arial"/>
          <w:sz w:val="22"/>
          <w:lang w:val="es-ES" w:eastAsia="en-GB"/>
        </w:rPr>
      </w:pPr>
      <w:r w:rsidRPr="00230F6F">
        <w:rPr>
          <w:rFonts w:cs="Arial"/>
          <w:b/>
          <w:bCs/>
          <w:sz w:val="22"/>
          <w:lang w:val="es-ES" w:eastAsia="en-GB"/>
        </w:rPr>
        <w:t>Pruebas documentadas</w:t>
      </w:r>
      <w:r w:rsidRPr="00230F6F">
        <w:rPr>
          <w:rFonts w:cs="Arial"/>
          <w:sz w:val="22"/>
          <w:lang w:val="es-ES" w:eastAsia="en-GB"/>
        </w:rPr>
        <w:t xml:space="preserve">: información de apoyo adicional (archivos electrónicos, enlaces web, etc.) sobre la implementación exitosa de la mejor práctica, el impacto de las políticas e iniciativas </w:t>
      </w:r>
      <w:r w:rsidRPr="00230F6F">
        <w:rPr>
          <w:rFonts w:cs="Arial"/>
          <w:sz w:val="22"/>
          <w:lang w:val="es-ES" w:eastAsia="en-GB"/>
        </w:rPr>
        <w:lastRenderedPageBreak/>
        <w:t>sobre seguridad alimentaria y nutrición, así como las oportunidades adicionales, los desafíos y las compensaciones vinculadas a la intervención.</w:t>
      </w:r>
    </w:p>
    <w:p w14:paraId="380B539E" w14:textId="77777777" w:rsidR="00431DA4" w:rsidRPr="00230F6F" w:rsidRDefault="00431DA4" w:rsidP="00431DA4">
      <w:pPr>
        <w:shd w:val="clear" w:color="auto" w:fill="FFFFFF"/>
        <w:spacing w:after="150"/>
        <w:rPr>
          <w:rFonts w:cs="Arial"/>
          <w:bCs/>
          <w:sz w:val="22"/>
          <w:lang w:val="es-ES" w:eastAsia="en-GB"/>
        </w:rPr>
      </w:pPr>
      <w:r w:rsidRPr="00230F6F">
        <w:rPr>
          <w:rFonts w:cs="Arial"/>
          <w:bCs/>
          <w:sz w:val="22"/>
          <w:lang w:val="es-ES" w:eastAsia="en-GB"/>
        </w:rPr>
        <w:t xml:space="preserve">Esperamos recibir sus valiosas aportaciones y aprender de sus experiencias que ayuden a </w:t>
      </w:r>
      <w:r>
        <w:rPr>
          <w:rFonts w:cs="Arial"/>
          <w:bCs/>
          <w:sz w:val="22"/>
          <w:lang w:val="es-ES" w:eastAsia="en-GB"/>
        </w:rPr>
        <w:t>reforzar el informe</w:t>
      </w:r>
      <w:r w:rsidRPr="00230F6F">
        <w:rPr>
          <w:rFonts w:cs="Arial"/>
          <w:bCs/>
          <w:sz w:val="22"/>
          <w:lang w:val="es-ES" w:eastAsia="en-GB"/>
        </w:rPr>
        <w:t xml:space="preserve"> SOFI 2021. Para ayudarle con sus preguntas sobre el contenido de la convocatoria y de sus propuestas, puede ponerse en contacto con los cofacilitadores. Además, se organizará un seminario web del Foro FSN durante la primera semana de marzo (la fecha se confirmará más adelante) para seguir explorando las mejores prácticas en la transformación de los sistemas alimentarios para lograr dietas saludables asequibles. </w:t>
      </w:r>
    </w:p>
    <w:p w14:paraId="2593AACB" w14:textId="77777777" w:rsidR="00431DA4" w:rsidRPr="00230F6F" w:rsidRDefault="00431DA4" w:rsidP="00431DA4">
      <w:pPr>
        <w:shd w:val="clear" w:color="auto" w:fill="FFFFFF"/>
        <w:spacing w:after="150"/>
        <w:rPr>
          <w:rFonts w:cs="Arial"/>
          <w:sz w:val="22"/>
          <w:lang w:val="es-ES" w:eastAsia="en-GB"/>
        </w:rPr>
      </w:pPr>
      <w:bookmarkStart w:id="1" w:name="_Hlk64805260"/>
      <w:r w:rsidRPr="00230F6F">
        <w:rPr>
          <w:rFonts w:cs="Arial"/>
          <w:bCs/>
          <w:sz w:val="22"/>
          <w:lang w:val="es-ES" w:eastAsia="en-GB"/>
        </w:rPr>
        <w:t>Se aceptan propuestas en los seis idiomas de la ONU (inglés, francés, español, ruso, árabe y chino)</w:t>
      </w:r>
      <w:r w:rsidRPr="00230F6F">
        <w:rPr>
          <w:rFonts w:cs="Arial"/>
          <w:sz w:val="22"/>
          <w:lang w:val="es-ES" w:eastAsia="en-GB"/>
        </w:rPr>
        <w:t xml:space="preserve">. </w:t>
      </w:r>
    </w:p>
    <w:p w14:paraId="2D0BF1C8" w14:textId="1F291F91" w:rsidR="00431DA4" w:rsidRPr="00230F6F" w:rsidRDefault="00431DA4" w:rsidP="00431DA4">
      <w:pPr>
        <w:rPr>
          <w:rFonts w:cs="Arial"/>
          <w:b/>
          <w:bCs/>
          <w:sz w:val="22"/>
          <w:lang w:val="es-ES" w:eastAsia="en-GB"/>
        </w:rPr>
      </w:pPr>
      <w:bookmarkStart w:id="2" w:name="_Hlk64805286"/>
      <w:bookmarkEnd w:id="1"/>
      <w:r w:rsidRPr="00230F6F">
        <w:rPr>
          <w:rFonts w:cs="Arial"/>
          <w:b/>
          <w:bCs/>
          <w:sz w:val="22"/>
          <w:lang w:val="es-ES" w:eastAsia="en-GB"/>
        </w:rPr>
        <w:t xml:space="preserve">El plazo de la convocatoria está abierto hasta el </w:t>
      </w:r>
      <w:r w:rsidR="002E77C1">
        <w:rPr>
          <w:rFonts w:cs="Arial"/>
          <w:b/>
          <w:bCs/>
          <w:sz w:val="22"/>
          <w:lang w:val="es-ES" w:eastAsia="en-GB"/>
        </w:rPr>
        <w:t>31</w:t>
      </w:r>
      <w:bookmarkStart w:id="3" w:name="_GoBack"/>
      <w:bookmarkEnd w:id="3"/>
      <w:r w:rsidRPr="00230F6F">
        <w:rPr>
          <w:rFonts w:cs="Arial"/>
          <w:b/>
          <w:bCs/>
          <w:sz w:val="22"/>
          <w:lang w:val="es-ES" w:eastAsia="en-GB"/>
        </w:rPr>
        <w:t xml:space="preserve"> de marzo de 2021.</w:t>
      </w:r>
    </w:p>
    <w:bookmarkEnd w:id="2"/>
    <w:p w14:paraId="3E475CCC" w14:textId="77777777" w:rsidR="00431DA4" w:rsidRPr="00230F6F" w:rsidRDefault="00431DA4" w:rsidP="00431DA4">
      <w:pPr>
        <w:shd w:val="clear" w:color="auto" w:fill="FFFFFF"/>
        <w:spacing w:after="150"/>
        <w:rPr>
          <w:rFonts w:cs="Arial"/>
          <w:bCs/>
          <w:color w:val="003B43"/>
          <w:sz w:val="22"/>
          <w:lang w:val="es-ES" w:eastAsia="en-GB"/>
        </w:rPr>
      </w:pPr>
      <w:r w:rsidRPr="00230F6F">
        <w:rPr>
          <w:rFonts w:cs="Arial"/>
          <w:sz w:val="22"/>
          <w:lang w:val="es-ES" w:eastAsia="en-GB"/>
        </w:rPr>
        <w:t>Puede subir el formulario de presentación cumplimentado en esta página web. Para ponerse en contacto con el equipo de SOFI o para recibir asistencia técnica para descargar o subir el formulario de presentación, envíe un correo electrónico a</w:t>
      </w:r>
      <w:r>
        <w:rPr>
          <w:rFonts w:cs="Arial"/>
          <w:sz w:val="22"/>
          <w:lang w:val="es-ES" w:eastAsia="en-GB"/>
        </w:rPr>
        <w:t xml:space="preserve"> </w:t>
      </w:r>
      <w:r w:rsidRPr="00230F6F">
        <w:rPr>
          <w:rFonts w:cs="Arial"/>
          <w:bCs/>
          <w:sz w:val="22"/>
          <w:lang w:val="es-ES" w:eastAsia="en-GB"/>
        </w:rPr>
        <w:t> </w:t>
      </w:r>
      <w:hyperlink r:id="rId17" w:history="1">
        <w:r w:rsidRPr="00230F6F">
          <w:rPr>
            <w:rFonts w:cs="Arial"/>
            <w:bCs/>
            <w:color w:val="0D6CAC"/>
            <w:sz w:val="22"/>
            <w:u w:val="single"/>
            <w:lang w:val="es-ES" w:eastAsia="en-GB"/>
          </w:rPr>
          <w:t>fsn-moderator@fao.org</w:t>
        </w:r>
      </w:hyperlink>
      <w:r w:rsidRPr="00230F6F">
        <w:rPr>
          <w:rFonts w:cs="Arial"/>
          <w:bCs/>
          <w:color w:val="003B43"/>
          <w:sz w:val="22"/>
          <w:lang w:val="es-ES" w:eastAsia="en-GB"/>
        </w:rPr>
        <w:t>.</w:t>
      </w:r>
    </w:p>
    <w:p w14:paraId="52BFE177" w14:textId="77777777" w:rsidR="00431DA4" w:rsidRPr="00EE76F8" w:rsidRDefault="00431DA4" w:rsidP="00431DA4">
      <w:pPr>
        <w:rPr>
          <w:rFonts w:cs="Arial"/>
          <w:bCs/>
          <w:iCs/>
          <w:sz w:val="22"/>
          <w:lang w:val="es-ES" w:eastAsia="en-GB"/>
        </w:rPr>
      </w:pPr>
      <w:r w:rsidRPr="00EE76F8">
        <w:rPr>
          <w:rFonts w:cs="Arial"/>
          <w:bCs/>
          <w:iCs/>
          <w:sz w:val="22"/>
          <w:lang w:val="es-ES" w:eastAsia="en-GB"/>
        </w:rPr>
        <w:t>El equipo del Foro FSN y los cofacilitadores:</w:t>
      </w:r>
    </w:p>
    <w:p w14:paraId="031F09C9" w14:textId="77777777" w:rsidR="00431DA4" w:rsidRPr="00EE76F8" w:rsidRDefault="00431DA4" w:rsidP="00431DA4">
      <w:pPr>
        <w:rPr>
          <w:rFonts w:cs="Arial"/>
          <w:bCs/>
          <w:i/>
          <w:iCs/>
          <w:sz w:val="22"/>
          <w:lang w:val="es-ES" w:eastAsia="en-GB"/>
        </w:rPr>
      </w:pPr>
      <w:r w:rsidRPr="00EE76F8">
        <w:rPr>
          <w:rFonts w:cs="Arial"/>
          <w:bCs/>
          <w:i/>
          <w:iCs/>
          <w:sz w:val="22"/>
          <w:lang w:val="es-ES" w:eastAsia="en-GB"/>
        </w:rPr>
        <w:t>Cindy Holleman, es Economista superior y editora de El estado de la seguridad alimentaria y la nutrición en el mundo, División de Economía Agroalimentaria (ESA)</w:t>
      </w:r>
    </w:p>
    <w:p w14:paraId="58C71519" w14:textId="77777777" w:rsidR="00431DA4" w:rsidRPr="00EE76F8" w:rsidRDefault="00431DA4" w:rsidP="00431DA4">
      <w:pPr>
        <w:rPr>
          <w:rFonts w:cs="Arial"/>
          <w:bCs/>
          <w:i/>
          <w:iCs/>
          <w:sz w:val="22"/>
          <w:lang w:val="es-ES" w:eastAsia="en-GB"/>
        </w:rPr>
      </w:pPr>
      <w:r w:rsidRPr="00EE76F8">
        <w:rPr>
          <w:rFonts w:cs="Arial"/>
          <w:bCs/>
          <w:i/>
          <w:iCs/>
          <w:sz w:val="22"/>
          <w:lang w:val="es-ES" w:eastAsia="en-GB"/>
        </w:rPr>
        <w:t>Mark Smulders, es Asesor especial del informe: El estado de la seguridad alimentaria y la nutrición en el mundo 2021</w:t>
      </w:r>
    </w:p>
    <w:p w14:paraId="23B2ED00" w14:textId="223AE834" w:rsidR="00431DA4" w:rsidRDefault="00431DA4" w:rsidP="00431DA4">
      <w:pPr>
        <w:rPr>
          <w:lang w:val="es-ES_tradnl"/>
        </w:rPr>
      </w:pPr>
    </w:p>
    <w:p w14:paraId="0297A535" w14:textId="77777777" w:rsidR="00DC5544" w:rsidRPr="00DC5544" w:rsidRDefault="00DC5544" w:rsidP="00DC5544">
      <w:pPr>
        <w:rPr>
          <w:lang w:val="es-ES"/>
        </w:rPr>
      </w:pPr>
    </w:p>
    <w:sectPr w:rsidR="00DC5544" w:rsidRPr="00DC5544" w:rsidSect="008F2ADB">
      <w:headerReference w:type="default"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3C81" w14:textId="77777777" w:rsidR="00E24563" w:rsidRDefault="00E24563" w:rsidP="00D079C6">
      <w:pPr>
        <w:spacing w:after="0"/>
      </w:pPr>
      <w:r>
        <w:separator/>
      </w:r>
    </w:p>
    <w:p w14:paraId="38EE0CFC" w14:textId="77777777" w:rsidR="00E24563" w:rsidRDefault="00E24563"/>
  </w:endnote>
  <w:endnote w:type="continuationSeparator" w:id="0">
    <w:p w14:paraId="66311564" w14:textId="77777777" w:rsidR="00E24563" w:rsidRDefault="00E24563" w:rsidP="00D079C6">
      <w:pPr>
        <w:spacing w:after="0"/>
      </w:pPr>
      <w:r>
        <w:continuationSeparator/>
      </w:r>
    </w:p>
    <w:p w14:paraId="040E9C7C" w14:textId="77777777" w:rsidR="00E24563" w:rsidRDefault="00E24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675ABC" w:rsidRDefault="00B655B5" w:rsidP="00135B0D">
    <w:pPr>
      <w:pStyle w:val="Footer"/>
      <w:tabs>
        <w:tab w:val="clear" w:pos="9360"/>
        <w:tab w:val="right" w:pos="9639"/>
      </w:tabs>
      <w:jc w:val="left"/>
      <w:rPr>
        <w:rStyle w:val="Hyperlink"/>
        <w:sz w:val="22"/>
        <w:lang w:val="es-ES"/>
      </w:rPr>
    </w:pPr>
    <w:r w:rsidRPr="00675ABC">
      <w:rPr>
        <w:color w:val="31849B" w:themeColor="accent5" w:themeShade="BF"/>
        <w:sz w:val="22"/>
        <w:lang w:val="es-ES"/>
      </w:rPr>
      <w:t>Foro Global sobre Seguridad Alimentaria y Nutrición</w:t>
    </w:r>
    <w:r w:rsidRPr="00675ABC">
      <w:rPr>
        <w:color w:val="C00000"/>
        <w:sz w:val="22"/>
        <w:lang w:val="es-ES"/>
      </w:rPr>
      <w:tab/>
    </w:r>
    <w:hyperlink r:id="rId1" w:history="1">
      <w:r w:rsidRPr="00675ABC">
        <w:rPr>
          <w:rStyle w:val="Hyperlink"/>
          <w:sz w:val="22"/>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675ABC" w:rsidRDefault="00B655B5" w:rsidP="008F2ADB">
    <w:pPr>
      <w:pStyle w:val="Footer"/>
      <w:tabs>
        <w:tab w:val="clear" w:pos="9360"/>
        <w:tab w:val="right" w:pos="9639"/>
      </w:tabs>
      <w:jc w:val="left"/>
      <w:rPr>
        <w:rStyle w:val="Hyperlink"/>
        <w:sz w:val="22"/>
        <w:lang w:val="es-ES"/>
      </w:rPr>
    </w:pPr>
    <w:r w:rsidRPr="00675ABC">
      <w:rPr>
        <w:color w:val="31849B" w:themeColor="accent5" w:themeShade="BF"/>
        <w:sz w:val="22"/>
        <w:lang w:val="es-ES"/>
      </w:rPr>
      <w:t>Foro Global sobre Seguridad Alimentaria y Nutrición</w:t>
    </w:r>
    <w:r w:rsidRPr="00675ABC">
      <w:rPr>
        <w:color w:val="C00000"/>
        <w:sz w:val="22"/>
        <w:lang w:val="es-ES"/>
      </w:rPr>
      <w:tab/>
    </w:r>
    <w:hyperlink r:id="rId1" w:history="1">
      <w:r w:rsidRPr="00675ABC">
        <w:rPr>
          <w:rStyle w:val="Hyperlink"/>
          <w:sz w:val="22"/>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D2CE" w14:textId="77777777" w:rsidR="00E24563" w:rsidRDefault="00E24563" w:rsidP="00D079C6">
      <w:pPr>
        <w:spacing w:after="0"/>
      </w:pPr>
      <w:r>
        <w:separator/>
      </w:r>
    </w:p>
    <w:p w14:paraId="30B8DCC3" w14:textId="77777777" w:rsidR="00E24563" w:rsidRDefault="00E24563"/>
  </w:footnote>
  <w:footnote w:type="continuationSeparator" w:id="0">
    <w:p w14:paraId="16F71308" w14:textId="77777777" w:rsidR="00E24563" w:rsidRDefault="00E24563" w:rsidP="00D079C6">
      <w:pPr>
        <w:spacing w:after="0"/>
      </w:pPr>
      <w:r>
        <w:continuationSeparator/>
      </w:r>
    </w:p>
    <w:p w14:paraId="1FA1EA62" w14:textId="77777777" w:rsidR="00E24563" w:rsidRDefault="00E24563"/>
  </w:footnote>
  <w:footnote w:id="1">
    <w:p w14:paraId="688138F2" w14:textId="77777777" w:rsidR="00431DA4" w:rsidRPr="00F57DF3" w:rsidRDefault="00431DA4" w:rsidP="00431DA4">
      <w:pPr>
        <w:pStyle w:val="FootnoteText"/>
        <w:rPr>
          <w:lang w:val="es-ES"/>
        </w:rPr>
      </w:pPr>
      <w:r>
        <w:rPr>
          <w:rStyle w:val="FootnoteReference"/>
        </w:rPr>
        <w:footnoteRef/>
      </w:r>
      <w:r w:rsidRPr="00F57DF3">
        <w:rPr>
          <w:lang w:val="es-ES"/>
        </w:rPr>
        <w:t xml:space="preserve"> </w:t>
      </w:r>
      <w:r w:rsidRPr="00CB4F20">
        <w:rPr>
          <w:lang w:val="es-ES"/>
        </w:rPr>
        <w:t xml:space="preserve">El equipo de redacción interinstitucional del SOFI </w:t>
      </w:r>
      <w:r>
        <w:rPr>
          <w:lang w:val="es-ES"/>
        </w:rPr>
        <w:t xml:space="preserve">está formado por </w:t>
      </w:r>
      <w:r w:rsidRPr="00F57DF3">
        <w:rPr>
          <w:lang w:val="es-ES"/>
        </w:rPr>
        <w:t>expert</w:t>
      </w:r>
      <w:r>
        <w:rPr>
          <w:lang w:val="es-ES"/>
        </w:rPr>
        <w:t>o</w:t>
      </w:r>
      <w:r w:rsidRPr="00F57DF3">
        <w:rPr>
          <w:lang w:val="es-ES"/>
        </w:rPr>
        <w:t>s</w:t>
      </w:r>
      <w:r>
        <w:rPr>
          <w:lang w:val="es-ES"/>
        </w:rPr>
        <w:t xml:space="preserve"> técnicos</w:t>
      </w:r>
      <w:r w:rsidRPr="00F57DF3">
        <w:rPr>
          <w:lang w:val="es-ES"/>
        </w:rPr>
        <w:t xml:space="preserve"> </w:t>
      </w:r>
      <w:r>
        <w:rPr>
          <w:lang w:val="es-ES"/>
        </w:rPr>
        <w:t>de la</w:t>
      </w:r>
      <w:r w:rsidRPr="00F57DF3">
        <w:rPr>
          <w:lang w:val="es-ES"/>
        </w:rPr>
        <w:t xml:space="preserve"> FAO, </w:t>
      </w:r>
      <w:r>
        <w:rPr>
          <w:lang w:val="es-ES"/>
        </w:rPr>
        <w:t>el FIDA</w:t>
      </w:r>
      <w:r w:rsidRPr="00F57DF3">
        <w:rPr>
          <w:lang w:val="es-ES"/>
        </w:rPr>
        <w:t>, UNICEF,</w:t>
      </w:r>
      <w:r>
        <w:rPr>
          <w:lang w:val="es-ES"/>
        </w:rPr>
        <w:t xml:space="preserve"> la OMS</w:t>
      </w:r>
      <w:r w:rsidRPr="00F57DF3">
        <w:rPr>
          <w:lang w:val="es-ES"/>
        </w:rPr>
        <w:t xml:space="preserve"> </w:t>
      </w:r>
      <w:r>
        <w:rPr>
          <w:lang w:val="es-ES"/>
        </w:rPr>
        <w:t>y el PMA</w:t>
      </w:r>
      <w:r w:rsidRPr="00F57DF3">
        <w:rPr>
          <w:lang w:val="es-ES"/>
        </w:rPr>
        <w:t>.</w:t>
      </w:r>
    </w:p>
  </w:footnote>
  <w:footnote w:id="2">
    <w:p w14:paraId="40729D17" w14:textId="77777777" w:rsidR="00431DA4" w:rsidRPr="00F57DF3" w:rsidRDefault="00431DA4" w:rsidP="00431DA4">
      <w:pPr>
        <w:pStyle w:val="FootnoteText"/>
        <w:rPr>
          <w:lang w:val="es-ES"/>
        </w:rPr>
      </w:pPr>
      <w:r>
        <w:rPr>
          <w:rStyle w:val="FootnoteReference"/>
        </w:rPr>
        <w:footnoteRef/>
      </w:r>
      <w:r w:rsidRPr="00F57DF3">
        <w:rPr>
          <w:lang w:val="es-ES"/>
        </w:rPr>
        <w:t xml:space="preserve"> </w:t>
      </w:r>
      <w:hyperlink r:id="rId1" w:history="1">
        <w:r w:rsidRPr="00F57DF3">
          <w:rPr>
            <w:rStyle w:val="Hyperlink"/>
            <w:rFonts w:cs="Arial"/>
            <w:lang w:val="es-ES"/>
          </w:rPr>
          <w:t>SOFI 2017</w:t>
        </w:r>
      </w:hyperlink>
      <w:r w:rsidRPr="00F57DF3">
        <w:rPr>
          <w:rFonts w:cs="Arial"/>
          <w:color w:val="000000" w:themeColor="text1"/>
          <w:lang w:val="es-ES"/>
        </w:rPr>
        <w:t xml:space="preserve">, </w:t>
      </w:r>
      <w:hyperlink r:id="rId2" w:history="1">
        <w:r w:rsidRPr="00F57DF3">
          <w:rPr>
            <w:rStyle w:val="Hyperlink"/>
            <w:rFonts w:cs="Arial"/>
            <w:lang w:val="es-ES"/>
          </w:rPr>
          <w:t>SOFI 2018</w:t>
        </w:r>
      </w:hyperlink>
      <w:r w:rsidRPr="00F57DF3">
        <w:rPr>
          <w:rFonts w:cs="Arial"/>
          <w:color w:val="000000" w:themeColor="text1"/>
          <w:lang w:val="es-ES"/>
        </w:rPr>
        <w:t xml:space="preserve">, </w:t>
      </w:r>
      <w:hyperlink r:id="rId3" w:history="1">
        <w:r w:rsidRPr="00F57DF3">
          <w:rPr>
            <w:rStyle w:val="Hyperlink"/>
            <w:rFonts w:cs="Arial"/>
            <w:lang w:val="es-ES"/>
          </w:rPr>
          <w:t>SOFI 2019</w:t>
        </w:r>
      </w:hyperlink>
      <w:r w:rsidRPr="00F57DF3">
        <w:rPr>
          <w:rFonts w:cs="Arial"/>
          <w:color w:val="000000" w:themeColor="text1"/>
          <w:lang w:val="es-ES"/>
        </w:rPr>
        <w:t xml:space="preserve">, </w:t>
      </w:r>
      <w:hyperlink r:id="rId4" w:history="1">
        <w:r w:rsidRPr="00F57DF3">
          <w:rPr>
            <w:rStyle w:val="Hyperlink"/>
            <w:lang w:val="es-ES"/>
          </w:rPr>
          <w:t>SOFI 2020</w:t>
        </w:r>
      </w:hyperlink>
      <w:r w:rsidRPr="00F57DF3">
        <w:rPr>
          <w:lang w:val="es-ES"/>
        </w:rPr>
        <w:t>.</w:t>
      </w:r>
    </w:p>
  </w:footnote>
  <w:footnote w:id="3">
    <w:p w14:paraId="3708A702" w14:textId="3F9B95A5" w:rsidR="00431DA4" w:rsidRPr="00431DA4" w:rsidRDefault="00431DA4" w:rsidP="00431DA4">
      <w:pPr>
        <w:rPr>
          <w:sz w:val="20"/>
          <w:szCs w:val="20"/>
          <w:lang w:val="es-ES"/>
        </w:rPr>
      </w:pPr>
      <w:r>
        <w:rPr>
          <w:rStyle w:val="FootnoteReference"/>
        </w:rPr>
        <w:footnoteRef/>
      </w:r>
      <w:r w:rsidRPr="00F57DF3">
        <w:rPr>
          <w:lang w:val="es-ES"/>
        </w:rPr>
        <w:t xml:space="preserve"> </w:t>
      </w:r>
      <w:r w:rsidRPr="00F57DF3">
        <w:rPr>
          <w:sz w:val="20"/>
          <w:szCs w:val="20"/>
          <w:lang w:val="es-ES"/>
        </w:rPr>
        <w:t xml:space="preserve">Tenga en cuenta que por </w:t>
      </w:r>
      <w:r>
        <w:rPr>
          <w:sz w:val="20"/>
          <w:szCs w:val="20"/>
          <w:lang w:val="es-ES"/>
        </w:rPr>
        <w:t>“</w:t>
      </w:r>
      <w:r w:rsidRPr="00F57DF3">
        <w:rPr>
          <w:sz w:val="20"/>
          <w:szCs w:val="20"/>
          <w:lang w:val="es-ES"/>
        </w:rPr>
        <w:t>cambio transformador</w:t>
      </w:r>
      <w:r>
        <w:rPr>
          <w:sz w:val="20"/>
          <w:szCs w:val="20"/>
          <w:lang w:val="es-ES"/>
        </w:rPr>
        <w:t>”</w:t>
      </w:r>
      <w:r w:rsidRPr="00F57DF3">
        <w:rPr>
          <w:sz w:val="20"/>
          <w:szCs w:val="20"/>
          <w:lang w:val="es-ES"/>
        </w:rPr>
        <w:t xml:space="preserve"> nos referimos a los cambios innovadores y proactivos que se alejan de lo habitual, y en los que los cambios introducidos conducen a una mayor asequibilidad de los alimentos nutritivos y las dietas saludables</w:t>
      </w:r>
      <w:r>
        <w:rPr>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655B5" w:rsidRPr="002E77C1" w14:paraId="2BE09B7C" w14:textId="77777777" w:rsidTr="00675ABC">
      <w:tc>
        <w:tcPr>
          <w:tcW w:w="249" w:type="pct"/>
          <w:vAlign w:val="center"/>
        </w:tcPr>
        <w:p w14:paraId="4690B6D6" w14:textId="77777777" w:rsidR="00B655B5" w:rsidRPr="00B01341" w:rsidRDefault="00B655B5" w:rsidP="00675ABC">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0A1D03">
            <w:rPr>
              <w:noProof/>
              <w:color w:val="31849B"/>
              <w:sz w:val="20"/>
              <w:szCs w:val="20"/>
            </w:rPr>
            <w:t>3</w:t>
          </w:r>
          <w:r w:rsidRPr="00B01341">
            <w:rPr>
              <w:color w:val="31849B"/>
              <w:sz w:val="20"/>
              <w:szCs w:val="20"/>
            </w:rPr>
            <w:fldChar w:fldCharType="end"/>
          </w:r>
        </w:p>
      </w:tc>
      <w:tc>
        <w:tcPr>
          <w:tcW w:w="4751" w:type="pct"/>
        </w:tcPr>
        <w:p w14:paraId="38C2FFEB" w14:textId="3D746E92" w:rsidR="00B655B5" w:rsidRPr="00FF5702" w:rsidRDefault="00431DA4" w:rsidP="007B4788">
          <w:pPr>
            <w:pStyle w:val="top"/>
            <w:rPr>
              <w:lang w:val="es-ES_tradnl"/>
            </w:rPr>
          </w:pPr>
          <w:r w:rsidRPr="00431DA4">
            <w:rPr>
              <w:lang w:val="es-ES_tradnl"/>
            </w:rPr>
            <w:t>Convocatoria de mejores prácticas para transformar los sistemas alimentarios para contar con dietas saludables asequibles y abordar las causas principales de la inseguridad alimentaria y la malnutrición</w:t>
          </w:r>
        </w:p>
      </w:tc>
    </w:tr>
  </w:tbl>
  <w:p w14:paraId="62B9B7F7" w14:textId="77777777" w:rsidR="00B655B5" w:rsidRPr="00384748" w:rsidRDefault="00B655B5">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CA97" w14:textId="77777777" w:rsidR="00906040" w:rsidRDefault="00906040" w:rsidP="00906040">
    <w:pPr>
      <w:pStyle w:val="Header"/>
      <w:jc w:val="left"/>
      <w:rPr>
        <w:b/>
        <w:color w:val="FFFFFF"/>
      </w:rPr>
    </w:pPr>
    <w:r>
      <w:rPr>
        <w:b/>
        <w:noProof/>
        <w:color w:val="FFFFFF"/>
        <w:lang w:val="en-GB" w:eastAsia="en-GB"/>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en-GB"/>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05029907" w:rsidR="00906040" w:rsidRPr="0043646E" w:rsidRDefault="00CB1346" w:rsidP="00906040">
          <w:pPr>
            <w:pStyle w:val="Heading6"/>
          </w:pPr>
          <w:r>
            <w:t>TEMA</w:t>
          </w:r>
        </w:p>
      </w:tc>
    </w:tr>
    <w:tr w:rsidR="00906040" w:rsidRPr="006D0242" w14:paraId="08DE927D" w14:textId="77777777" w:rsidTr="00BE0F13">
      <w:trPr>
        <w:jc w:val="center"/>
      </w:trPr>
      <w:tc>
        <w:tcPr>
          <w:tcW w:w="9639" w:type="dxa"/>
          <w:shd w:val="clear" w:color="auto" w:fill="FFFFFF" w:themeFill="background1"/>
        </w:tcPr>
        <w:p w14:paraId="6446BD71" w14:textId="10058CDE" w:rsidR="00EC368D" w:rsidRPr="00675ABC" w:rsidRDefault="00DC5544" w:rsidP="000A1D03">
          <w:pPr>
            <w:spacing w:after="0" w:line="276" w:lineRule="auto"/>
            <w:jc w:val="center"/>
            <w:rPr>
              <w:rFonts w:asciiTheme="majorHAnsi" w:hAnsiTheme="majorHAnsi"/>
              <w:b/>
              <w:color w:val="31849B" w:themeColor="accent5" w:themeShade="BF"/>
              <w:sz w:val="22"/>
            </w:rPr>
          </w:pPr>
          <w:r w:rsidRPr="00675ABC">
            <w:rPr>
              <w:rFonts w:asciiTheme="majorHAnsi" w:hAnsiTheme="majorHAnsi"/>
              <w:b/>
              <w:sz w:val="22"/>
            </w:rPr>
            <w:t>2</w:t>
          </w:r>
          <w:r w:rsidR="00431DA4">
            <w:rPr>
              <w:rFonts w:asciiTheme="majorHAnsi" w:hAnsiTheme="majorHAnsi"/>
              <w:b/>
              <w:sz w:val="22"/>
            </w:rPr>
            <w:t>3</w:t>
          </w:r>
          <w:r w:rsidR="0059410F" w:rsidRPr="00675ABC">
            <w:rPr>
              <w:rFonts w:asciiTheme="majorHAnsi" w:hAnsiTheme="majorHAnsi"/>
              <w:b/>
              <w:sz w:val="22"/>
            </w:rPr>
            <w:t>.0</w:t>
          </w:r>
          <w:r w:rsidR="00431DA4">
            <w:rPr>
              <w:rFonts w:asciiTheme="majorHAnsi" w:hAnsiTheme="majorHAnsi"/>
              <w:b/>
              <w:sz w:val="22"/>
            </w:rPr>
            <w:t>2</w:t>
          </w:r>
          <w:r w:rsidR="0059410F" w:rsidRPr="00675ABC">
            <w:rPr>
              <w:rFonts w:asciiTheme="majorHAnsi" w:hAnsiTheme="majorHAnsi"/>
              <w:b/>
              <w:sz w:val="22"/>
            </w:rPr>
            <w:t>.20</w:t>
          </w:r>
          <w:r w:rsidR="00431DA4">
            <w:rPr>
              <w:rFonts w:asciiTheme="majorHAnsi" w:hAnsiTheme="majorHAnsi"/>
              <w:b/>
              <w:sz w:val="22"/>
            </w:rPr>
            <w:t>21</w:t>
          </w:r>
          <w:r w:rsidR="0059410F" w:rsidRPr="00675ABC">
            <w:rPr>
              <w:rFonts w:asciiTheme="majorHAnsi" w:hAnsiTheme="majorHAnsi"/>
              <w:b/>
              <w:sz w:val="22"/>
            </w:rPr>
            <w:t xml:space="preserve"> – </w:t>
          </w:r>
          <w:r w:rsidR="002E77C1">
            <w:rPr>
              <w:rFonts w:asciiTheme="majorHAnsi" w:hAnsiTheme="majorHAnsi"/>
              <w:b/>
              <w:sz w:val="22"/>
            </w:rPr>
            <w:t>31</w:t>
          </w:r>
          <w:r w:rsidR="0061515F" w:rsidRPr="00675ABC">
            <w:rPr>
              <w:rFonts w:asciiTheme="majorHAnsi" w:hAnsiTheme="majorHAnsi"/>
              <w:b/>
              <w:sz w:val="22"/>
            </w:rPr>
            <w:t>.0</w:t>
          </w:r>
          <w:r w:rsidR="00431DA4">
            <w:rPr>
              <w:rFonts w:asciiTheme="majorHAnsi" w:hAnsiTheme="majorHAnsi"/>
              <w:b/>
              <w:sz w:val="22"/>
            </w:rPr>
            <w:t>3</w:t>
          </w:r>
          <w:r w:rsidR="0061515F" w:rsidRPr="00675ABC">
            <w:rPr>
              <w:rFonts w:asciiTheme="majorHAnsi" w:hAnsiTheme="majorHAnsi"/>
              <w:b/>
              <w:sz w:val="22"/>
            </w:rPr>
            <w:t>.20</w:t>
          </w:r>
          <w:r w:rsidR="00431DA4">
            <w:rPr>
              <w:rFonts w:asciiTheme="majorHAnsi" w:hAnsiTheme="majorHAnsi"/>
              <w:b/>
              <w:sz w:val="22"/>
            </w:rPr>
            <w:t>21</w:t>
          </w:r>
          <w:r w:rsidR="00906040" w:rsidRPr="00675ABC">
            <w:rPr>
              <w:rFonts w:asciiTheme="majorHAnsi" w:hAnsiTheme="majorHAnsi"/>
              <w:b/>
              <w:color w:val="31849B" w:themeColor="accent5" w:themeShade="BF"/>
              <w:sz w:val="22"/>
            </w:rPr>
            <w:br/>
          </w:r>
          <w:r w:rsidR="00906040" w:rsidRPr="00EC368D">
            <w:rPr>
              <w:noProof/>
              <w:sz w:val="22"/>
              <w:lang w:val="en-GB" w:eastAsia="en-GB"/>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906040" w:rsidRPr="00EC368D">
            <w:rPr>
              <w:sz w:val="22"/>
            </w:rPr>
            <w:t xml:space="preserve">   </w:t>
          </w:r>
          <w:r w:rsidR="00431DA4" w:rsidRPr="00431DA4">
            <w:rPr>
              <w:rStyle w:val="Hyperlink"/>
              <w:sz w:val="22"/>
            </w:rPr>
            <w:t>http://www.fao.org/fsnforum/</w:t>
          </w:r>
          <w:r w:rsidR="00431DA4">
            <w:rPr>
              <w:rStyle w:val="Hyperlink"/>
              <w:sz w:val="22"/>
            </w:rPr>
            <w:t>e</w:t>
          </w:r>
          <w:r w:rsidR="00431DA4">
            <w:rPr>
              <w:rStyle w:val="Hyperlink"/>
            </w:rPr>
            <w:t>s/</w:t>
          </w:r>
          <w:r w:rsidR="00431DA4" w:rsidRPr="00431DA4">
            <w:rPr>
              <w:rStyle w:val="Hyperlink"/>
              <w:sz w:val="22"/>
            </w:rPr>
            <w:t>activities/discussions/SOFI_transforming_food_systems</w:t>
          </w:r>
        </w:p>
      </w:tc>
    </w:tr>
  </w:tbl>
  <w:p w14:paraId="5DA6713E" w14:textId="77777777" w:rsidR="00906040" w:rsidRPr="00DC5544" w:rsidRDefault="00906040" w:rsidP="00906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B25BB2"/>
    <w:multiLevelType w:val="hybridMultilevel"/>
    <w:tmpl w:val="10F2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C35B5"/>
    <w:multiLevelType w:val="hybridMultilevel"/>
    <w:tmpl w:val="2D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781291"/>
    <w:multiLevelType w:val="hybridMultilevel"/>
    <w:tmpl w:val="F9C6E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13CB2"/>
    <w:multiLevelType w:val="hybridMultilevel"/>
    <w:tmpl w:val="7214F8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52F5A"/>
    <w:multiLevelType w:val="hybridMultilevel"/>
    <w:tmpl w:val="7F8EC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21BC9"/>
    <w:multiLevelType w:val="hybridMultilevel"/>
    <w:tmpl w:val="305EE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387671D"/>
    <w:multiLevelType w:val="hybridMultilevel"/>
    <w:tmpl w:val="3B881A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34477"/>
    <w:multiLevelType w:val="hybridMultilevel"/>
    <w:tmpl w:val="02E2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550D0E"/>
    <w:multiLevelType w:val="hybridMultilevel"/>
    <w:tmpl w:val="A9EEB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173B2"/>
    <w:multiLevelType w:val="hybridMultilevel"/>
    <w:tmpl w:val="F6AE1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770DC4"/>
    <w:multiLevelType w:val="hybridMultilevel"/>
    <w:tmpl w:val="9D0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878F4"/>
    <w:multiLevelType w:val="hybridMultilevel"/>
    <w:tmpl w:val="07B4C5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1"/>
  </w:num>
  <w:num w:numId="3">
    <w:abstractNumId w:val="32"/>
  </w:num>
  <w:num w:numId="4">
    <w:abstractNumId w:val="14"/>
  </w:num>
  <w:num w:numId="5">
    <w:abstractNumId w:val="7"/>
  </w:num>
  <w:num w:numId="6">
    <w:abstractNumId w:val="25"/>
  </w:num>
  <w:num w:numId="7">
    <w:abstractNumId w:val="8"/>
  </w:num>
  <w:num w:numId="8">
    <w:abstractNumId w:val="10"/>
  </w:num>
  <w:num w:numId="9">
    <w:abstractNumId w:val="19"/>
  </w:num>
  <w:num w:numId="10">
    <w:abstractNumId w:val="26"/>
  </w:num>
  <w:num w:numId="11">
    <w:abstractNumId w:val="13"/>
  </w:num>
  <w:num w:numId="12">
    <w:abstractNumId w:val="26"/>
  </w:num>
  <w:num w:numId="13">
    <w:abstractNumId w:val="29"/>
  </w:num>
  <w:num w:numId="14">
    <w:abstractNumId w:val="5"/>
  </w:num>
  <w:num w:numId="15">
    <w:abstractNumId w:val="31"/>
  </w:num>
  <w:num w:numId="16">
    <w:abstractNumId w:val="9"/>
  </w:num>
  <w:num w:numId="17">
    <w:abstractNumId w:val="12"/>
  </w:num>
  <w:num w:numId="18">
    <w:abstractNumId w:val="6"/>
  </w:num>
  <w:num w:numId="19">
    <w:abstractNumId w:val="15"/>
  </w:num>
  <w:num w:numId="20">
    <w:abstractNumId w:val="2"/>
  </w:num>
  <w:num w:numId="21">
    <w:abstractNumId w:val="24"/>
  </w:num>
  <w:num w:numId="22">
    <w:abstractNumId w:val="30"/>
  </w:num>
  <w:num w:numId="23">
    <w:abstractNumId w:val="1"/>
  </w:num>
  <w:num w:numId="24">
    <w:abstractNumId w:val="22"/>
  </w:num>
  <w:num w:numId="25">
    <w:abstractNumId w:val="1"/>
  </w:num>
  <w:num w:numId="26">
    <w:abstractNumId w:val="17"/>
  </w:num>
  <w:num w:numId="27">
    <w:abstractNumId w:val="23"/>
  </w:num>
  <w:num w:numId="28">
    <w:abstractNumId w:val="4"/>
  </w:num>
  <w:num w:numId="29">
    <w:abstractNumId w:val="16"/>
  </w:num>
  <w:num w:numId="30">
    <w:abstractNumId w:val="3"/>
  </w:num>
  <w:num w:numId="31">
    <w:abstractNumId w:val="18"/>
  </w:num>
  <w:num w:numId="32">
    <w:abstractNumId w:val="33"/>
  </w:num>
  <w:num w:numId="33">
    <w:abstractNumId w:val="20"/>
  </w:num>
  <w:num w:numId="34">
    <w:abstractNumId w:val="28"/>
  </w:num>
  <w:num w:numId="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3182"/>
    <w:rsid w:val="00094770"/>
    <w:rsid w:val="000A1D03"/>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27D45"/>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7B16"/>
    <w:rsid w:val="0021356E"/>
    <w:rsid w:val="00215654"/>
    <w:rsid w:val="00220776"/>
    <w:rsid w:val="00220FC1"/>
    <w:rsid w:val="00221904"/>
    <w:rsid w:val="00235327"/>
    <w:rsid w:val="00242954"/>
    <w:rsid w:val="00245034"/>
    <w:rsid w:val="00252BD6"/>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407"/>
    <w:rsid w:val="002E3A18"/>
    <w:rsid w:val="002E57CC"/>
    <w:rsid w:val="002E77C1"/>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1DA4"/>
    <w:rsid w:val="004339ED"/>
    <w:rsid w:val="00434855"/>
    <w:rsid w:val="00440F26"/>
    <w:rsid w:val="00441081"/>
    <w:rsid w:val="00442895"/>
    <w:rsid w:val="00446C71"/>
    <w:rsid w:val="00450A16"/>
    <w:rsid w:val="00453970"/>
    <w:rsid w:val="00454AD6"/>
    <w:rsid w:val="00454FC9"/>
    <w:rsid w:val="0045705D"/>
    <w:rsid w:val="0046094E"/>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6AA1"/>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410F"/>
    <w:rsid w:val="00595DAB"/>
    <w:rsid w:val="005A01AA"/>
    <w:rsid w:val="005A073A"/>
    <w:rsid w:val="005A3EB2"/>
    <w:rsid w:val="005A4B30"/>
    <w:rsid w:val="005A697A"/>
    <w:rsid w:val="005B13AD"/>
    <w:rsid w:val="005B3C11"/>
    <w:rsid w:val="005B3D0E"/>
    <w:rsid w:val="005C4E8D"/>
    <w:rsid w:val="005D08CC"/>
    <w:rsid w:val="005D55B7"/>
    <w:rsid w:val="005E3DFC"/>
    <w:rsid w:val="005F02CF"/>
    <w:rsid w:val="005F5A29"/>
    <w:rsid w:val="0060348A"/>
    <w:rsid w:val="00612E2E"/>
    <w:rsid w:val="00613AF7"/>
    <w:rsid w:val="00613E51"/>
    <w:rsid w:val="0061515F"/>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14F3"/>
    <w:rsid w:val="00672921"/>
    <w:rsid w:val="006737EF"/>
    <w:rsid w:val="00675ABC"/>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242"/>
    <w:rsid w:val="006D0BEC"/>
    <w:rsid w:val="006D6502"/>
    <w:rsid w:val="006E07F8"/>
    <w:rsid w:val="006E1543"/>
    <w:rsid w:val="006E1D74"/>
    <w:rsid w:val="006E1DFB"/>
    <w:rsid w:val="006E6A93"/>
    <w:rsid w:val="006F3F14"/>
    <w:rsid w:val="006F5811"/>
    <w:rsid w:val="006F7C82"/>
    <w:rsid w:val="007000C5"/>
    <w:rsid w:val="007008BB"/>
    <w:rsid w:val="00701070"/>
    <w:rsid w:val="00701231"/>
    <w:rsid w:val="0070221C"/>
    <w:rsid w:val="00702D28"/>
    <w:rsid w:val="00712152"/>
    <w:rsid w:val="00713320"/>
    <w:rsid w:val="00714749"/>
    <w:rsid w:val="0071747B"/>
    <w:rsid w:val="00721603"/>
    <w:rsid w:val="00724726"/>
    <w:rsid w:val="00732662"/>
    <w:rsid w:val="00735512"/>
    <w:rsid w:val="00736BFE"/>
    <w:rsid w:val="00741A1E"/>
    <w:rsid w:val="007436FF"/>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4788"/>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A7A85"/>
    <w:rsid w:val="008B0B1F"/>
    <w:rsid w:val="008B4143"/>
    <w:rsid w:val="008B56A8"/>
    <w:rsid w:val="008B6C11"/>
    <w:rsid w:val="008C28EC"/>
    <w:rsid w:val="008C4769"/>
    <w:rsid w:val="008C47A5"/>
    <w:rsid w:val="008C5FCE"/>
    <w:rsid w:val="008C6B4B"/>
    <w:rsid w:val="008D0875"/>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26F39"/>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225B5"/>
    <w:rsid w:val="00B318C1"/>
    <w:rsid w:val="00B330F2"/>
    <w:rsid w:val="00B35E4D"/>
    <w:rsid w:val="00B36508"/>
    <w:rsid w:val="00B4371D"/>
    <w:rsid w:val="00B54A9F"/>
    <w:rsid w:val="00B571E7"/>
    <w:rsid w:val="00B61CC2"/>
    <w:rsid w:val="00B655B5"/>
    <w:rsid w:val="00B73EAE"/>
    <w:rsid w:val="00B8063F"/>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1346"/>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9510A"/>
    <w:rsid w:val="00DA1D21"/>
    <w:rsid w:val="00DA6599"/>
    <w:rsid w:val="00DB0547"/>
    <w:rsid w:val="00DB14AF"/>
    <w:rsid w:val="00DB1CDF"/>
    <w:rsid w:val="00DB798F"/>
    <w:rsid w:val="00DC315B"/>
    <w:rsid w:val="00DC5544"/>
    <w:rsid w:val="00DD0934"/>
    <w:rsid w:val="00DF01A6"/>
    <w:rsid w:val="00DF4E15"/>
    <w:rsid w:val="00E03AAE"/>
    <w:rsid w:val="00E10963"/>
    <w:rsid w:val="00E1150C"/>
    <w:rsid w:val="00E1246A"/>
    <w:rsid w:val="00E164AE"/>
    <w:rsid w:val="00E168CD"/>
    <w:rsid w:val="00E240A1"/>
    <w:rsid w:val="00E24563"/>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368D"/>
    <w:rsid w:val="00EC5825"/>
    <w:rsid w:val="00ED481D"/>
    <w:rsid w:val="00EE76F8"/>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1DEC"/>
    <w:rsid w:val="00F74522"/>
    <w:rsid w:val="00F755E9"/>
    <w:rsid w:val="00F77419"/>
    <w:rsid w:val="00F84163"/>
    <w:rsid w:val="00F87135"/>
    <w:rsid w:val="00F875C9"/>
    <w:rsid w:val="00F90831"/>
    <w:rsid w:val="00F90FE5"/>
    <w:rsid w:val="00F91D08"/>
    <w:rsid w:val="00F94E52"/>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AE"/>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466D88"/>
    <w:pPr>
      <w:spacing w:before="120" w:after="480" w:line="276" w:lineRule="auto"/>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466D88"/>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 w:type="paragraph" w:customStyle="1" w:styleId="NewPara">
    <w:name w:val="NewPara"/>
    <w:basedOn w:val="ListParagraph"/>
    <w:link w:val="NewParaChar"/>
    <w:qFormat/>
    <w:rsid w:val="00DC5544"/>
    <w:pPr>
      <w:numPr>
        <w:numId w:val="3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DC5544"/>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EE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41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3041191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21767017">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3908735">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2424005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ca5162es/ca5162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o.org/3/I9553ES/i9553es.pdf" TargetMode="External"/><Relationship Id="rId17" Type="http://schemas.openxmlformats.org/officeDocument/2006/relationships/hyperlink" Target="mailto:fsn-moderator@fao.org" TargetMode="External"/><Relationship Id="rId2" Type="http://schemas.openxmlformats.org/officeDocument/2006/relationships/numbering" Target="numbering.xml"/><Relationship Id="rId16" Type="http://schemas.openxmlformats.org/officeDocument/2006/relationships/hyperlink" Target="http://assets.fsnforum.fao.org.s3-eu-west-1.amazonaws.com/public/TEMPLATE_ES_SOFI_food_systems_transformatio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9553ES/i9553es.pdf" TargetMode="External"/><Relationship Id="rId5" Type="http://schemas.openxmlformats.org/officeDocument/2006/relationships/webSettings" Target="webSettings.xml"/><Relationship Id="rId15" Type="http://schemas.openxmlformats.org/officeDocument/2006/relationships/hyperlink" Target="http://www.fao.org/3/ca9692es/CA9692ES.pdf" TargetMode="External"/><Relationship Id="rId23" Type="http://schemas.openxmlformats.org/officeDocument/2006/relationships/theme" Target="theme/theme1.xml"/><Relationship Id="rId10" Type="http://schemas.openxmlformats.org/officeDocument/2006/relationships/hyperlink" Target="http://www.fao.org/3/I7695s/I7695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publications/sofi/2020/es/" TargetMode="External"/><Relationship Id="rId14" Type="http://schemas.openxmlformats.org/officeDocument/2006/relationships/hyperlink" Target="http://www.fao.org/publications/card/es/c/CA9692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5162es/ca5162es.pdf" TargetMode="External"/><Relationship Id="rId2" Type="http://schemas.openxmlformats.org/officeDocument/2006/relationships/hyperlink" Target="http://www.fao.org/3/I9553EN/i9553en.pdf" TargetMode="External"/><Relationship Id="rId1" Type="http://schemas.openxmlformats.org/officeDocument/2006/relationships/hyperlink" Target="http://www.fao.org/3/a-I7695e.pdf" TargetMode="External"/><Relationship Id="rId4" Type="http://schemas.openxmlformats.org/officeDocument/2006/relationships/hyperlink" Target="http://www.fao.org/publications/card/es/c/CA9692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46F43-6B4D-46BC-A8B0-37182A97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1098</Words>
  <Characters>6259</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7343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8</cp:revision>
  <cp:lastPrinted>2015-02-02T14:02:00Z</cp:lastPrinted>
  <dcterms:created xsi:type="dcterms:W3CDTF">2021-02-22T09:34:00Z</dcterms:created>
  <dcterms:modified xsi:type="dcterms:W3CDTF">2021-03-10T14:22:00Z</dcterms:modified>
</cp:coreProperties>
</file>