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9CB2" w14:textId="77777777" w:rsidR="00730D95" w:rsidRPr="00730D95" w:rsidRDefault="00730D95" w:rsidP="00730D95">
      <w:pPr>
        <w:rPr>
          <w:rFonts w:cs="Arial"/>
          <w:b/>
          <w:bCs/>
          <w:noProof/>
          <w:color w:val="E36C0A"/>
          <w:sz w:val="36"/>
          <w:szCs w:val="36"/>
          <w:lang w:val="ru-RU" w:eastAsia="zh-CN"/>
        </w:rPr>
      </w:pPr>
      <w:r w:rsidRPr="00730D95">
        <w:rPr>
          <w:rFonts w:cs="Arial"/>
          <w:b/>
          <w:bCs/>
          <w:noProof/>
          <w:color w:val="E36C0A"/>
          <w:sz w:val="36"/>
          <w:szCs w:val="36"/>
          <w:lang w:val="ru-RU" w:eastAsia="zh-CN"/>
        </w:rPr>
        <w:t>Приглашение  поделиться передовыми практиками в области преобразования продовольственных систем для обеспечения финансовой доступности здорового питания и устранения ключевых факторов отсутствия продовольственной безопасности и неполноценного питания</w:t>
      </w:r>
    </w:p>
    <w:p w14:paraId="598A6A02" w14:textId="36601CB0" w:rsidR="00FB5CFB" w:rsidRPr="003F1C95" w:rsidRDefault="00FB5CFB" w:rsidP="00FB5CFB">
      <w:pPr>
        <w:rPr>
          <w:szCs w:val="24"/>
          <w:lang w:val="ru-RU"/>
        </w:rPr>
      </w:pPr>
    </w:p>
    <w:p w14:paraId="2E6E67B4" w14:textId="1FC1E005" w:rsidR="00730D95" w:rsidRPr="00730D95" w:rsidRDefault="00730D95" w:rsidP="00730D95">
      <w:pPr>
        <w:shd w:val="clear" w:color="auto" w:fill="FFFFFF"/>
        <w:spacing w:after="150"/>
        <w:rPr>
          <w:rFonts w:cs="Arial"/>
          <w:lang w:val="ru-RU"/>
        </w:rPr>
      </w:pPr>
      <w:r w:rsidRPr="003360CB">
        <w:rPr>
          <w:rFonts w:ascii="Arial" w:hAnsi="Arial" w:cs="Arial"/>
          <w:b/>
          <w:noProof/>
          <w:color w:val="003B4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47DAC5" wp14:editId="397DFD4E">
            <wp:simplePos x="0" y="0"/>
            <wp:positionH relativeFrom="column">
              <wp:posOffset>4578350</wp:posOffset>
            </wp:positionH>
            <wp:positionV relativeFrom="paragraph">
              <wp:posOffset>8890</wp:posOffset>
            </wp:positionV>
            <wp:extent cx="1542415" cy="2108200"/>
            <wp:effectExtent l="0" t="0" r="63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D95">
        <w:rPr>
          <w:lang w:val="ru-RU"/>
        </w:rPr>
        <w:t xml:space="preserve">Межучрежденческая редакционная группа по подготовке </w:t>
      </w:r>
      <w:r w:rsidRPr="00ED1CE0">
        <w:rPr>
          <w:rStyle w:val="FootnoteReference"/>
          <w:rFonts w:cs="Arial"/>
          <w:lang w:eastAsia="en-GB"/>
        </w:rPr>
        <w:footnoteReference w:id="1"/>
      </w:r>
      <w:r w:rsidRPr="00730D95">
        <w:rPr>
          <w:lang w:val="ru-RU"/>
        </w:rPr>
        <w:t xml:space="preserve">доклада </w:t>
      </w:r>
      <w:hyperlink r:id="rId9" w:history="1">
        <w:r w:rsidRPr="00730D95">
          <w:rPr>
            <w:rStyle w:val="Hyperlink"/>
            <w:lang w:val="ru-RU"/>
          </w:rPr>
          <w:t>«Положение дел в области продовольственной безопасности и питания в мире» (СОФИ) за 2021 год</w:t>
        </w:r>
      </w:hyperlink>
      <w:r w:rsidRPr="00730D95">
        <w:rPr>
          <w:color w:val="003B43"/>
          <w:lang w:val="ru-RU"/>
        </w:rPr>
        <w:t xml:space="preserve"> </w:t>
      </w:r>
      <w:r w:rsidRPr="00730D95">
        <w:rPr>
          <w:lang w:val="ru-RU"/>
        </w:rPr>
        <w:t>приглашает вас поделиться передовыми практиками и накопленным опытом в области мер, которые в практическом и инновационном ключе обеспечивают преобразование продовольственных систем в целях расширения доступа к питательному продовольствию и обеспечения финансовой доступности здорового питания.</w:t>
      </w:r>
    </w:p>
    <w:p w14:paraId="5C8D4306" w14:textId="672F2B17" w:rsidR="00730D95" w:rsidRPr="00730D95" w:rsidRDefault="00730D95" w:rsidP="00730D95">
      <w:pPr>
        <w:shd w:val="clear" w:color="auto" w:fill="FFFFFF"/>
        <w:spacing w:after="150"/>
        <w:rPr>
          <w:rFonts w:cs="Arial"/>
          <w:lang w:val="ru-RU"/>
        </w:rPr>
      </w:pPr>
      <w:r w:rsidRPr="00730D95">
        <w:rPr>
          <w:lang w:val="ru-RU"/>
        </w:rPr>
        <w:t>В прошлых изданиях доклада СОФИ</w:t>
      </w:r>
      <w:r w:rsidRPr="00ED1CE0">
        <w:rPr>
          <w:rStyle w:val="FootnoteReference"/>
          <w:rFonts w:cs="Arial"/>
          <w:lang w:eastAsia="en-GB"/>
        </w:rPr>
        <w:footnoteReference w:id="2"/>
      </w:r>
      <w:r w:rsidRPr="00730D95">
        <w:rPr>
          <w:lang w:val="ru-RU"/>
        </w:rPr>
        <w:t xml:space="preserve"> было наглядно показано, как ключевые факторы, в том числе </w:t>
      </w:r>
      <w:hyperlink r:id="rId10" w:history="1">
        <w:r w:rsidRPr="00730D95">
          <w:rPr>
            <w:rStyle w:val="Hyperlink"/>
            <w:lang w:val="ru-RU"/>
          </w:rPr>
          <w:t>конфликты и гражданские беспорядки</w:t>
        </w:r>
      </w:hyperlink>
      <w:r w:rsidRPr="00730D95">
        <w:rPr>
          <w:color w:val="003B43"/>
          <w:lang w:val="ru-RU"/>
        </w:rPr>
        <w:t xml:space="preserve">, </w:t>
      </w:r>
      <w:hyperlink r:id="rId11" w:history="1">
        <w:r w:rsidRPr="00730D95">
          <w:rPr>
            <w:rStyle w:val="Hyperlink"/>
            <w:lang w:val="ru-RU"/>
          </w:rPr>
          <w:t>изменчивость климата и экстремальные климатические явления</w:t>
        </w:r>
      </w:hyperlink>
      <w:r w:rsidRPr="00730D95">
        <w:rPr>
          <w:color w:val="003B43"/>
          <w:lang w:val="ru-RU"/>
        </w:rPr>
        <w:t xml:space="preserve">, </w:t>
      </w:r>
      <w:hyperlink r:id="rId12" w:history="1">
        <w:r w:rsidRPr="00730D95">
          <w:rPr>
            <w:rStyle w:val="Hyperlink"/>
            <w:lang w:val="ru-RU"/>
          </w:rPr>
          <w:t>замедление экономического роста и спады в экономике</w:t>
        </w:r>
      </w:hyperlink>
      <w:r w:rsidRPr="00730D95">
        <w:rPr>
          <w:color w:val="003B43"/>
          <w:lang w:val="ru-RU"/>
        </w:rPr>
        <w:t xml:space="preserve">, </w:t>
      </w:r>
      <w:hyperlink r:id="rId13" w:history="1">
        <w:r w:rsidRPr="00730D95">
          <w:rPr>
            <w:rStyle w:val="Hyperlink"/>
            <w:lang w:val="ru-RU"/>
          </w:rPr>
          <w:t>неизбывная нищета и неравенство</w:t>
        </w:r>
      </w:hyperlink>
      <w:r w:rsidRPr="00730D95">
        <w:rPr>
          <w:lang w:val="ru-RU"/>
        </w:rPr>
        <w:t xml:space="preserve">, а теперь и </w:t>
      </w:r>
      <w:hyperlink r:id="rId14" w:history="1">
        <w:r w:rsidRPr="00730D95">
          <w:rPr>
            <w:rStyle w:val="Hyperlink"/>
            <w:lang w:val="ru-RU"/>
          </w:rPr>
          <w:t xml:space="preserve">пандемия вируса </w:t>
        </w:r>
        <w:r>
          <w:rPr>
            <w:rStyle w:val="Hyperlink"/>
          </w:rPr>
          <w:t>COVID</w:t>
        </w:r>
        <w:r w:rsidRPr="00730D95">
          <w:rPr>
            <w:rStyle w:val="Hyperlink"/>
            <w:lang w:val="ru-RU"/>
          </w:rPr>
          <w:t>-19</w:t>
        </w:r>
      </w:hyperlink>
      <w:r w:rsidRPr="00730D95">
        <w:rPr>
          <w:lang w:val="ru-RU"/>
        </w:rPr>
        <w:t xml:space="preserve">, приводят к ухудшению положения дел в области продовольственной безопасности и питания в мире и лишают сотни миллионов людей доступа к питательному продовольствию.  </w:t>
      </w:r>
    </w:p>
    <w:p w14:paraId="325126D4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color w:val="003B43"/>
          <w:lang w:val="ru-RU"/>
        </w:rPr>
      </w:pPr>
      <w:r w:rsidRPr="00730D95">
        <w:rPr>
          <w:lang w:val="ru-RU"/>
        </w:rPr>
        <w:t>Последние тенденции говорят сами за себя: в мире наблюдается рост голода. В 2019</w:t>
      </w:r>
      <w:r>
        <w:t> </w:t>
      </w:r>
      <w:r w:rsidRPr="00730D95">
        <w:rPr>
          <w:lang w:val="ru-RU"/>
        </w:rPr>
        <w:t>году прирост голодающих людей составил 10</w:t>
      </w:r>
      <w:r>
        <w:t> </w:t>
      </w:r>
      <w:r w:rsidRPr="00730D95">
        <w:rPr>
          <w:lang w:val="ru-RU"/>
        </w:rPr>
        <w:t>млн человек, за пять лет этот показатель составит примерно 60</w:t>
      </w:r>
      <w:r>
        <w:t> </w:t>
      </w:r>
      <w:r w:rsidRPr="00730D95">
        <w:rPr>
          <w:lang w:val="ru-RU"/>
        </w:rPr>
        <w:t xml:space="preserve">млн человек. Пандемия вируса </w:t>
      </w:r>
      <w:r>
        <w:t>COVID</w:t>
      </w:r>
      <w:r w:rsidRPr="00730D95">
        <w:rPr>
          <w:lang w:val="ru-RU"/>
        </w:rPr>
        <w:t xml:space="preserve">-19 ускоряет этот рост: по предварительным </w:t>
      </w:r>
      <w:r w:rsidRPr="00730D95">
        <w:rPr>
          <w:lang w:val="ru-RU"/>
        </w:rPr>
        <w:lastRenderedPageBreak/>
        <w:t>оценкам, в 2020</w:t>
      </w:r>
      <w:r>
        <w:t> </w:t>
      </w:r>
      <w:r w:rsidRPr="00730D95">
        <w:rPr>
          <w:lang w:val="ru-RU"/>
        </w:rPr>
        <w:t>году численность голодающих людей возросла на 132</w:t>
      </w:r>
      <w:r>
        <w:t> </w:t>
      </w:r>
      <w:r w:rsidRPr="00730D95">
        <w:rPr>
          <w:lang w:val="ru-RU"/>
        </w:rPr>
        <w:t xml:space="preserve">млн человек. В то же время наблюдается замедление прогресса в деле сокращения масштабов задержки роста и истощения детей, а также продолжающийся рост показателя избыточного веса и ожирения как в богатых, так и в бедных странах. </w:t>
      </w:r>
      <w:hyperlink r:id="rId15" w:history="1">
        <w:r w:rsidRPr="00730D95">
          <w:rPr>
            <w:rStyle w:val="Hyperlink"/>
            <w:lang w:val="ru-RU"/>
          </w:rPr>
          <w:t>Более 3 млрд людей в мире не могут позволить себе здоровое питание.</w:t>
        </w:r>
      </w:hyperlink>
      <w:r w:rsidRPr="00730D95">
        <w:rPr>
          <w:color w:val="003B43"/>
          <w:lang w:val="ru-RU"/>
        </w:rPr>
        <w:t>.</w:t>
      </w:r>
    </w:p>
    <w:p w14:paraId="6E4B7133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lang w:val="ru-RU"/>
        </w:rPr>
      </w:pPr>
      <w:r w:rsidRPr="00730D95">
        <w:rPr>
          <w:lang w:val="ru-RU"/>
        </w:rPr>
        <w:t>Короче говоря, сегодня мировому сообществу пока не удается искоренить голод, обеспечить продовольственную безопасность и решить проблему неполноценного питания во всех его формах к 2030</w:t>
      </w:r>
      <w:r>
        <w:t> </w:t>
      </w:r>
      <w:r w:rsidRPr="00730D95">
        <w:rPr>
          <w:lang w:val="ru-RU"/>
        </w:rPr>
        <w:t>году (цель в области устойчивого развития (ЦУР)</w:t>
      </w:r>
      <w:r>
        <w:t> </w:t>
      </w:r>
      <w:r w:rsidRPr="00730D95">
        <w:rPr>
          <w:lang w:val="ru-RU"/>
        </w:rPr>
        <w:t>2). Выход на необходимую динамику в деле достижении ЦУР</w:t>
      </w:r>
      <w:r>
        <w:t> </w:t>
      </w:r>
      <w:r w:rsidRPr="00730D95">
        <w:rPr>
          <w:lang w:val="ru-RU"/>
        </w:rPr>
        <w:t xml:space="preserve">2 и других ЦУР потребует отказа от разрозненных решений в пользу взаимодополняющих решений в области продовольственных систем, а также пакетов мер политики и инвестиций, которые в первоочередном порядке решают проблемы глобальной продовольственной безопасности и питания. </w:t>
      </w:r>
    </w:p>
    <w:p w14:paraId="5F4297BA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lang w:val="ru-RU"/>
        </w:rPr>
      </w:pPr>
      <w:r w:rsidRPr="00730D95">
        <w:rPr>
          <w:lang w:val="ru-RU"/>
        </w:rPr>
        <w:t>Продовольственные системы не справляются с обеспечением питательного и финансово доступного продовольствия для здорового рациона, и в свете вышеуказанных ключевых факторов решение этой задачи дополнительно затруднено. Вместе с тем</w:t>
      </w:r>
      <w:r w:rsidRPr="00730D95">
        <w:rPr>
          <w:b/>
          <w:lang w:val="ru-RU"/>
        </w:rPr>
        <w:t xml:space="preserve"> трансформация продовольственных систем при одновременном укреплении устойчивости к ключевым факторам отсутствия продовольственной безопасности и неполноценного питания, а также стимулирование этих систем в целях обеспечения устойчивой и инклюзивной финансовой доступности здорового питания</w:t>
      </w:r>
      <w:r w:rsidRPr="00730D95">
        <w:rPr>
          <w:lang w:val="ru-RU"/>
        </w:rPr>
        <w:t xml:space="preserve"> может позволить нам выйти на необходимую динамику в деле достижения ЦУР</w:t>
      </w:r>
      <w:r>
        <w:t> </w:t>
      </w:r>
      <w:r w:rsidRPr="00730D95">
        <w:rPr>
          <w:lang w:val="ru-RU"/>
        </w:rPr>
        <w:t>2.</w:t>
      </w:r>
    </w:p>
    <w:p w14:paraId="267C9FA4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lang w:val="ru-RU"/>
        </w:rPr>
      </w:pPr>
      <w:r w:rsidRPr="00730D95">
        <w:rPr>
          <w:lang w:val="ru-RU"/>
        </w:rPr>
        <w:t>Учитывая все вышесказанное, приглашаем вас поделиться наглядными примерами стран, в которых продовольственные системы прошли (или проходят) трансформацию при одновременном укреплении устойчивости к воздействию ключевых факторов и обеспечению большего доступа к питательному продовольствию и здоровому питанию, а также их ценовой доступности.</w:t>
      </w:r>
      <w:bookmarkStart w:id="0" w:name="_Hlk64023067"/>
      <w:r w:rsidRPr="00730D95">
        <w:rPr>
          <w:lang w:val="ru-RU"/>
        </w:rPr>
        <w:t xml:space="preserve"> В ходе этих трансформационных изменений</w:t>
      </w:r>
      <w:r w:rsidRPr="00ED1CE0">
        <w:rPr>
          <w:rStyle w:val="FootnoteReference"/>
          <w:rFonts w:cs="Arial"/>
          <w:lang w:eastAsia="en-GB"/>
        </w:rPr>
        <w:footnoteReference w:id="3"/>
      </w:r>
      <w:r w:rsidRPr="00730D95">
        <w:rPr>
          <w:lang w:val="ru-RU"/>
        </w:rPr>
        <w:t xml:space="preserve"> мы сталкиваемся с огромными трудностями, которые требуют использования взаимовыгодных решений, в рамках которых обеспечивается эффективное управление компромиссами и возможностями в целях достижения продуктивности. </w:t>
      </w:r>
    </w:p>
    <w:bookmarkEnd w:id="0"/>
    <w:p w14:paraId="160515E5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lang w:val="ru-RU"/>
        </w:rPr>
      </w:pPr>
      <w:r w:rsidRPr="00730D95">
        <w:rPr>
          <w:lang w:val="ru-RU"/>
        </w:rPr>
        <w:t>Если у вас  имеется убедительная история или вы можете поделиться передовой практикой или накопленным опытом в области наиболее эффективного решения указанных трудностей, мы предлагаем вам сконцентрироваться на общих направлениях (</w:t>
      </w:r>
      <w:r w:rsidRPr="00730D95">
        <w:rPr>
          <w:b/>
          <w:lang w:val="ru-RU"/>
        </w:rPr>
        <w:t>устойчивость продовольственных систем к воздействию ключевых факторов отсутствия продовольственной безопасности и питания, а также финансовая доступность</w:t>
      </w:r>
      <w:r w:rsidRPr="00730D95">
        <w:rPr>
          <w:lang w:val="ru-RU"/>
        </w:rPr>
        <w:t xml:space="preserve"> здорового питания для всех).  </w:t>
      </w:r>
    </w:p>
    <w:p w14:paraId="5C25B853" w14:textId="68128443" w:rsidR="00730D95" w:rsidRPr="00730D95" w:rsidRDefault="00730D95" w:rsidP="00730D95">
      <w:pPr>
        <w:shd w:val="clear" w:color="auto" w:fill="FFFFFF"/>
        <w:spacing w:after="150"/>
        <w:rPr>
          <w:rFonts w:cs="Arial"/>
          <w:b/>
          <w:bCs/>
          <w:lang w:val="ru-RU"/>
        </w:rPr>
      </w:pPr>
      <w:r w:rsidRPr="00730D95">
        <w:rPr>
          <w:b/>
          <w:bCs/>
          <w:lang w:val="ru-RU"/>
        </w:rPr>
        <w:t>Чтобы поделиться примерами и опытом, воспользуйтесь</w:t>
      </w:r>
      <w:r>
        <w:rPr>
          <w:b/>
          <w:bCs/>
        </w:rPr>
        <w:t> </w:t>
      </w:r>
      <w:hyperlink r:id="rId16" w:history="1">
        <w:r w:rsidRPr="00122E17">
          <w:rPr>
            <w:rStyle w:val="Hyperlink"/>
            <w:b/>
            <w:bCs/>
            <w:lang w:val="ru-RU"/>
          </w:rPr>
          <w:t>формой для подачи материалов</w:t>
        </w:r>
      </w:hyperlink>
      <w:r w:rsidRPr="00730D95">
        <w:rPr>
          <w:b/>
          <w:bCs/>
          <w:lang w:val="ru-RU"/>
        </w:rPr>
        <w:t>.</w:t>
      </w:r>
      <w:r>
        <w:rPr>
          <w:b/>
          <w:bCs/>
        </w:rPr>
        <w:t> </w:t>
      </w:r>
    </w:p>
    <w:p w14:paraId="2E1D2298" w14:textId="77777777" w:rsidR="00730D95" w:rsidRPr="00ED1CE0" w:rsidRDefault="00730D95" w:rsidP="00730D95">
      <w:pPr>
        <w:shd w:val="clear" w:color="auto" w:fill="FFFFFF"/>
        <w:spacing w:after="150"/>
        <w:rPr>
          <w:rFonts w:cs="Arial"/>
        </w:rPr>
      </w:pPr>
      <w:r w:rsidRPr="00730D95">
        <w:rPr>
          <w:lang w:val="ru-RU"/>
        </w:rPr>
        <w:t xml:space="preserve">Со-координаторы этого приглашения проведут отбор представленных материалов о передовых практиках, из которых сформируют справочный технический документ с указанием авторов. Эти материалы войдут в доклад «Положение дел в области продовольственной безопасности и </w:t>
      </w:r>
      <w:r w:rsidRPr="00730D95">
        <w:rPr>
          <w:lang w:val="ru-RU"/>
        </w:rPr>
        <w:lastRenderedPageBreak/>
        <w:t>питания в мире» за 2021</w:t>
      </w:r>
      <w:r>
        <w:t> </w:t>
      </w:r>
      <w:r w:rsidRPr="00730D95">
        <w:rPr>
          <w:lang w:val="ru-RU"/>
        </w:rPr>
        <w:t>год, который будет опубликован в июле 2021</w:t>
      </w:r>
      <w:r>
        <w:t> </w:t>
      </w:r>
      <w:r w:rsidRPr="00730D95">
        <w:rPr>
          <w:lang w:val="ru-RU"/>
        </w:rPr>
        <w:t xml:space="preserve">года. </w:t>
      </w:r>
      <w:r>
        <w:rPr>
          <w:b/>
          <w:bCs/>
        </w:rPr>
        <w:t>В процессе отбора будут рассмотрены следующие аспекты:</w:t>
      </w:r>
    </w:p>
    <w:p w14:paraId="2EC4DDE9" w14:textId="77777777" w:rsidR="00730D95" w:rsidRPr="00730D95" w:rsidRDefault="00730D95" w:rsidP="00730D95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contextualSpacing/>
        <w:jc w:val="left"/>
        <w:rPr>
          <w:rFonts w:cs="Arial"/>
          <w:lang w:val="ru-RU"/>
        </w:rPr>
      </w:pPr>
      <w:r w:rsidRPr="00730D95">
        <w:rPr>
          <w:b/>
          <w:lang w:val="ru-RU"/>
        </w:rPr>
        <w:t>применимость и актуальность</w:t>
      </w:r>
      <w:r w:rsidRPr="00730D95">
        <w:rPr>
          <w:lang w:val="ru-RU"/>
        </w:rPr>
        <w:t>: инициативы, демонстрирующие реалии различных стран, с точки зрения их перспективы реализации на региональном и глобальном уровнях;</w:t>
      </w:r>
    </w:p>
    <w:p w14:paraId="5182126E" w14:textId="77777777" w:rsidR="00730D95" w:rsidRPr="00730D95" w:rsidRDefault="00730D95" w:rsidP="00730D95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ind w:right="-142"/>
        <w:contextualSpacing/>
        <w:jc w:val="left"/>
        <w:rPr>
          <w:rFonts w:cs="Arial"/>
          <w:lang w:val="ru-RU"/>
        </w:rPr>
      </w:pPr>
      <w:r w:rsidRPr="00730D95">
        <w:rPr>
          <w:b/>
          <w:lang w:val="ru-RU"/>
        </w:rPr>
        <w:t>меры политики, инвестиции и другие мероприятия</w:t>
      </w:r>
      <w:r w:rsidRPr="00730D95">
        <w:rPr>
          <w:lang w:val="ru-RU"/>
        </w:rPr>
        <w:t xml:space="preserve"> в различных секторах, направленные на устранение двух или более ключевых факторов отсутствия продовольственной безопасности и неполноценного питания в любых их формах проявления, включая конфликты, изменчивость климата и экстремальные климатические условия, замедление экономического роста и спады в экономике, неизбывную нищету и неравенство, а также экономические последствия КОВИД-19 и их влияние на здоровье населения;</w:t>
      </w:r>
    </w:p>
    <w:p w14:paraId="0609D730" w14:textId="77777777" w:rsidR="00730D95" w:rsidRPr="00730D95" w:rsidRDefault="00730D95" w:rsidP="00730D95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contextualSpacing/>
        <w:jc w:val="left"/>
        <w:rPr>
          <w:rFonts w:cs="Arial"/>
          <w:lang w:val="ru-RU"/>
        </w:rPr>
      </w:pPr>
      <w:r w:rsidRPr="00730D95">
        <w:rPr>
          <w:b/>
          <w:lang w:val="ru-RU"/>
        </w:rPr>
        <w:t>вовлечение общественности и субъектов частного сектора,</w:t>
      </w:r>
      <w:r w:rsidRPr="00730D95">
        <w:rPr>
          <w:lang w:val="ru-RU"/>
        </w:rPr>
        <w:t xml:space="preserve"> включая различные государственные учреждения, местные сообщества, гражданское общество, различных субъектов на всех этапах продовольственной товаропроводящей цепочки, пищевую среду, потребителей и других лиц;</w:t>
      </w:r>
    </w:p>
    <w:p w14:paraId="4290FC04" w14:textId="77777777" w:rsidR="00730D95" w:rsidRPr="00730D95" w:rsidRDefault="00730D95" w:rsidP="00730D95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contextualSpacing/>
        <w:jc w:val="left"/>
        <w:rPr>
          <w:rFonts w:cs="Arial"/>
          <w:lang w:val="ru-RU"/>
        </w:rPr>
      </w:pPr>
      <w:r w:rsidRPr="00730D95">
        <w:rPr>
          <w:lang w:val="ru-RU"/>
        </w:rPr>
        <w:t xml:space="preserve">степень, в которой инновации/преобразовательные действия помогли расширить </w:t>
      </w:r>
      <w:r w:rsidRPr="00730D95">
        <w:rPr>
          <w:b/>
          <w:lang w:val="ru-RU"/>
        </w:rPr>
        <w:t>доступ к питательному продовольствию и обеспечить финансовую доступность здорового питания</w:t>
      </w:r>
      <w:r w:rsidRPr="00730D95">
        <w:rPr>
          <w:lang w:val="ru-RU"/>
        </w:rPr>
        <w:t xml:space="preserve">;   </w:t>
      </w:r>
    </w:p>
    <w:p w14:paraId="4F210C67" w14:textId="77777777" w:rsidR="00730D95" w:rsidRPr="00730D95" w:rsidRDefault="00730D95" w:rsidP="00730D95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contextualSpacing/>
        <w:jc w:val="left"/>
        <w:rPr>
          <w:rFonts w:cs="Arial"/>
          <w:lang w:val="ru-RU"/>
        </w:rPr>
      </w:pPr>
      <w:r w:rsidRPr="00730D95">
        <w:rPr>
          <w:b/>
          <w:lang w:val="ru-RU"/>
        </w:rPr>
        <w:t>документальные свидетельства:</w:t>
      </w:r>
      <w:r w:rsidRPr="00730D95">
        <w:rPr>
          <w:lang w:val="ru-RU"/>
        </w:rPr>
        <w:t xml:space="preserve"> дополнительная информация (электронные файлы, ссылки на веб-сайты и т.</w:t>
      </w:r>
      <w:r>
        <w:t> </w:t>
      </w:r>
      <w:r w:rsidRPr="00730D95">
        <w:rPr>
          <w:lang w:val="ru-RU"/>
        </w:rPr>
        <w:t xml:space="preserve">д.), подтверждающая успешное применение передовой практики, воздействие мер политики и инициатив на продовольственную безопасность и питание, а также дополнительные возможности, трудности, компромиссы, связанные с проведением соответствующего мероприятия. </w:t>
      </w:r>
    </w:p>
    <w:p w14:paraId="41E5BB49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bCs/>
          <w:lang w:val="ru-RU"/>
        </w:rPr>
      </w:pPr>
      <w:r w:rsidRPr="00730D95">
        <w:rPr>
          <w:lang w:val="ru-RU"/>
        </w:rPr>
        <w:t>Мы будем рады получить ваши ценные материалы, а также возможность изучить ваш опыт, который позволит сделать СОФИ</w:t>
      </w:r>
      <w:r>
        <w:t> </w:t>
      </w:r>
      <w:r w:rsidRPr="00730D95">
        <w:rPr>
          <w:lang w:val="ru-RU"/>
        </w:rPr>
        <w:t>2021 более содержательным.</w:t>
      </w:r>
      <w:r w:rsidRPr="00730D95">
        <w:rPr>
          <w:bCs/>
          <w:lang w:val="ru-RU"/>
        </w:rPr>
        <w:t xml:space="preserve"> В случае если у вас есть вопросы, связанные с содержанием настоящего приглашения к подаче материалов и представлением ваших материалов, вы можете связаться с со-координаторами. Кроме того, в первую неделю марта (дата будет подтверждена позже) будет проведен вебинар </w:t>
      </w:r>
      <w:r w:rsidRPr="00A31A74">
        <w:rPr>
          <w:bCs/>
          <w:lang w:val="ru-RU"/>
        </w:rPr>
        <w:t xml:space="preserve"> на </w:t>
      </w:r>
      <w:r w:rsidRPr="00730D95">
        <w:rPr>
          <w:bCs/>
          <w:lang w:val="ru-RU"/>
        </w:rPr>
        <w:t xml:space="preserve">Форуме </w:t>
      </w:r>
      <w:r>
        <w:rPr>
          <w:bCs/>
          <w:lang w:val="en-GB"/>
        </w:rPr>
        <w:t>FSN</w:t>
      </w:r>
      <w:r w:rsidRPr="00730D95">
        <w:rPr>
          <w:bCs/>
          <w:lang w:val="ru-RU"/>
        </w:rPr>
        <w:t xml:space="preserve"> для дополнительного изучения передовых практик в области трансформации продовольственных систем с целью обеспечения финансовой доступности здорового питания. </w:t>
      </w:r>
    </w:p>
    <w:p w14:paraId="254EC0A1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lang w:val="ru-RU"/>
        </w:rPr>
      </w:pPr>
      <w:r w:rsidRPr="00730D95">
        <w:rPr>
          <w:lang w:val="ru-RU"/>
        </w:rPr>
        <w:t xml:space="preserve">Материалы принимаются на любом из шести официальных языков ООН (английский, арабский, испанский, китайский, русский и французский языки). </w:t>
      </w:r>
    </w:p>
    <w:p w14:paraId="5940A38C" w14:textId="3A3716C0" w:rsidR="00730D95" w:rsidRPr="00730D95" w:rsidRDefault="00730D95" w:rsidP="00730D95">
      <w:pPr>
        <w:shd w:val="clear" w:color="auto" w:fill="FFFFFF"/>
        <w:spacing w:after="150"/>
        <w:rPr>
          <w:rFonts w:cs="Arial"/>
          <w:lang w:val="ru-RU"/>
        </w:rPr>
      </w:pPr>
      <w:r w:rsidRPr="00730D95">
        <w:rPr>
          <w:b/>
          <w:lang w:val="ru-RU"/>
        </w:rPr>
        <w:t xml:space="preserve">Подача материалов открыта до </w:t>
      </w:r>
      <w:r w:rsidR="003B57BE" w:rsidRPr="00D7104D">
        <w:rPr>
          <w:b/>
          <w:lang w:val="ru-RU"/>
        </w:rPr>
        <w:t>31</w:t>
      </w:r>
      <w:r w:rsidRPr="00730D95">
        <w:rPr>
          <w:b/>
          <w:lang w:val="ru-RU"/>
        </w:rPr>
        <w:t xml:space="preserve"> марта 2021</w:t>
      </w:r>
      <w:r>
        <w:rPr>
          <w:b/>
        </w:rPr>
        <w:t> </w:t>
      </w:r>
      <w:r w:rsidRPr="00730D95">
        <w:rPr>
          <w:b/>
          <w:lang w:val="ru-RU"/>
        </w:rPr>
        <w:t>г.</w:t>
      </w:r>
    </w:p>
    <w:p w14:paraId="1FCF2181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bCs/>
          <w:lang w:val="ru-RU"/>
        </w:rPr>
      </w:pPr>
      <w:r w:rsidRPr="00730D95">
        <w:rPr>
          <w:lang w:val="ru-RU"/>
        </w:rPr>
        <w:t xml:space="preserve">Заполненную форму подачи материалов можно загрузить на этой веб-странице. </w:t>
      </w:r>
      <w:r w:rsidRPr="00730D95">
        <w:rPr>
          <w:bCs/>
          <w:lang w:val="ru-RU"/>
        </w:rPr>
        <w:t xml:space="preserve">Чтобы связаться с группой подготовки СОФИ либо получить техническую помощь относительно скачивания или загрузки формы подачи материалов, направьте электронное письмо на адрес </w:t>
      </w:r>
      <w:hyperlink r:id="rId17" w:history="1">
        <w:r w:rsidRPr="00730D95">
          <w:rPr>
            <w:rStyle w:val="Hyperlink"/>
            <w:lang w:val="ru-RU"/>
          </w:rPr>
          <w:t>fsn-moderator@fao.org</w:t>
        </w:r>
      </w:hyperlink>
      <w:r w:rsidRPr="00730D95">
        <w:rPr>
          <w:bCs/>
          <w:lang w:val="ru-RU"/>
        </w:rPr>
        <w:t>.</w:t>
      </w:r>
    </w:p>
    <w:p w14:paraId="68451E10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iCs/>
          <w:lang w:val="ru-RU"/>
        </w:rPr>
      </w:pPr>
      <w:r w:rsidRPr="00730D95">
        <w:rPr>
          <w:iCs/>
          <w:lang w:val="ru-RU"/>
        </w:rPr>
        <w:t xml:space="preserve">Ваша команда Форума </w:t>
      </w:r>
      <w:r w:rsidRPr="00730D95">
        <w:rPr>
          <w:iCs/>
          <w:lang w:val="en-GB"/>
        </w:rPr>
        <w:t>FSN</w:t>
      </w:r>
      <w:r w:rsidRPr="00730D95">
        <w:rPr>
          <w:iCs/>
          <w:lang w:val="ru-RU"/>
        </w:rPr>
        <w:t xml:space="preserve"> и со-координаторы:</w:t>
      </w:r>
    </w:p>
    <w:p w14:paraId="3E9F419A" w14:textId="77777777" w:rsidR="00730D95" w:rsidRPr="00730D95" w:rsidRDefault="00730D95" w:rsidP="00730D95">
      <w:pPr>
        <w:shd w:val="clear" w:color="auto" w:fill="FFFFFF"/>
        <w:spacing w:after="150"/>
        <w:rPr>
          <w:rFonts w:cs="Arial"/>
          <w:bCs/>
          <w:i/>
          <w:lang w:val="ru-RU"/>
        </w:rPr>
      </w:pPr>
      <w:r w:rsidRPr="00730D95">
        <w:rPr>
          <w:bCs/>
          <w:i/>
          <w:lang w:val="ru-RU"/>
        </w:rPr>
        <w:t>Синди Холлеман, старший экономист и редактор доклада «Положение дел в области продовольственной безопасности и питания в мире», Отдел агропродовольственной экономики</w:t>
      </w:r>
    </w:p>
    <w:p w14:paraId="0E66C47F" w14:textId="07928BAF" w:rsidR="00730D95" w:rsidRPr="00730D95" w:rsidRDefault="00730D95" w:rsidP="00730D95">
      <w:pPr>
        <w:shd w:val="clear" w:color="auto" w:fill="FFFFFF"/>
        <w:spacing w:after="150"/>
        <w:rPr>
          <w:lang w:val="ru-RU"/>
        </w:rPr>
      </w:pPr>
      <w:r w:rsidRPr="00730D95">
        <w:rPr>
          <w:bCs/>
          <w:i/>
          <w:lang w:val="ru-RU"/>
        </w:rPr>
        <w:t xml:space="preserve">Марк Смалдерс, специальный консультант по докладу </w:t>
      </w:r>
      <w:r w:rsidRPr="00730D95">
        <w:rPr>
          <w:bCs/>
          <w:i/>
          <w:iCs/>
          <w:lang w:val="ru-RU"/>
        </w:rPr>
        <w:t>«Положение дел в области продовольственной безопасности и питания в мире» за 2021</w:t>
      </w:r>
      <w:r w:rsidRPr="009478BF">
        <w:rPr>
          <w:bCs/>
          <w:i/>
          <w:iCs/>
        </w:rPr>
        <w:t> </w:t>
      </w:r>
      <w:r w:rsidRPr="00730D95">
        <w:rPr>
          <w:bCs/>
          <w:i/>
          <w:iCs/>
          <w:lang w:val="ru-RU"/>
        </w:rPr>
        <w:t>год</w:t>
      </w:r>
    </w:p>
    <w:p w14:paraId="74A570DE" w14:textId="6C793252" w:rsidR="002F3767" w:rsidRPr="00011040" w:rsidRDefault="002F3767" w:rsidP="00730D95">
      <w:pPr>
        <w:spacing w:after="0"/>
        <w:rPr>
          <w:lang w:val="ru-RU"/>
        </w:rPr>
      </w:pPr>
    </w:p>
    <w:sectPr w:rsidR="002F3767" w:rsidRPr="00011040" w:rsidSect="008F2A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9244" w14:textId="77777777" w:rsidR="00DE5C33" w:rsidRDefault="00DE5C33" w:rsidP="00D079C6">
      <w:pPr>
        <w:spacing w:after="0"/>
      </w:pPr>
      <w:r>
        <w:separator/>
      </w:r>
    </w:p>
    <w:p w14:paraId="6BA007A7" w14:textId="77777777" w:rsidR="00DE5C33" w:rsidRDefault="00DE5C33"/>
  </w:endnote>
  <w:endnote w:type="continuationSeparator" w:id="0">
    <w:p w14:paraId="791527F7" w14:textId="77777777" w:rsidR="00DE5C33" w:rsidRDefault="00DE5C33" w:rsidP="00D079C6">
      <w:pPr>
        <w:spacing w:after="0"/>
      </w:pPr>
      <w:r>
        <w:continuationSeparator/>
      </w:r>
    </w:p>
    <w:p w14:paraId="3BAB1742" w14:textId="77777777" w:rsidR="00DE5C33" w:rsidRDefault="00DE5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8077" w14:textId="77777777" w:rsidR="00D7104D" w:rsidRDefault="00D71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5BE48CC1" w14:textId="77777777" w:rsidTr="008F2ADB">
      <w:tc>
        <w:tcPr>
          <w:tcW w:w="9639" w:type="dxa"/>
        </w:tcPr>
        <w:p w14:paraId="58DE1BFD" w14:textId="77777777" w:rsidR="007956F3" w:rsidRPr="00351B73" w:rsidRDefault="007956F3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E01EDDB" w14:textId="77777777" w:rsidR="007956F3" w:rsidRPr="004140C2" w:rsidRDefault="007956F3" w:rsidP="00E41A20">
    <w:pPr>
      <w:pStyle w:val="Footer"/>
      <w:jc w:val="center"/>
      <w:rPr>
        <w:color w:val="C00000"/>
      </w:rPr>
    </w:pPr>
  </w:p>
  <w:p w14:paraId="3B0ECBE4" w14:textId="704E44FE" w:rsidR="007956F3" w:rsidRPr="004140C2" w:rsidRDefault="007956F3" w:rsidP="00E41A20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33D9031D" w14:textId="77777777" w:rsidR="007956F3" w:rsidRPr="004140C2" w:rsidRDefault="007956F3" w:rsidP="00E41A20">
    <w:pPr>
      <w:pStyle w:val="Footer"/>
      <w:jc w:val="center"/>
      <w:rPr>
        <w:color w:val="31849B" w:themeColor="accent5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0D3B50EE" w14:textId="77777777" w:rsidTr="000929E7">
      <w:tc>
        <w:tcPr>
          <w:tcW w:w="9639" w:type="dxa"/>
        </w:tcPr>
        <w:p w14:paraId="6634A8C4" w14:textId="77777777" w:rsidR="007956F3" w:rsidRPr="00351B73" w:rsidRDefault="007956F3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7956F3" w:rsidRDefault="007956F3" w:rsidP="008F2ADB">
    <w:pPr>
      <w:pStyle w:val="Footer"/>
      <w:jc w:val="center"/>
      <w:rPr>
        <w:b/>
        <w:color w:val="C00000"/>
      </w:rPr>
    </w:pPr>
  </w:p>
  <w:p w14:paraId="08E46E56" w14:textId="70A22C30" w:rsidR="007956F3" w:rsidRPr="004140C2" w:rsidRDefault="007956F3" w:rsidP="008F2ADB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59223CEE" w14:textId="77777777" w:rsidR="007956F3" w:rsidRPr="004140C2" w:rsidRDefault="007956F3" w:rsidP="008F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08127" w14:textId="77777777" w:rsidR="00DE5C33" w:rsidRDefault="00DE5C33" w:rsidP="00D079C6">
      <w:pPr>
        <w:spacing w:after="0"/>
      </w:pPr>
      <w:r>
        <w:separator/>
      </w:r>
    </w:p>
    <w:p w14:paraId="35D78378" w14:textId="77777777" w:rsidR="00DE5C33" w:rsidRDefault="00DE5C33"/>
  </w:footnote>
  <w:footnote w:type="continuationSeparator" w:id="0">
    <w:p w14:paraId="26CA9C49" w14:textId="77777777" w:rsidR="00DE5C33" w:rsidRDefault="00DE5C33" w:rsidP="00D079C6">
      <w:pPr>
        <w:spacing w:after="0"/>
      </w:pPr>
      <w:r>
        <w:continuationSeparator/>
      </w:r>
    </w:p>
    <w:p w14:paraId="45DA576A" w14:textId="77777777" w:rsidR="00DE5C33" w:rsidRDefault="00DE5C33"/>
  </w:footnote>
  <w:footnote w:id="1">
    <w:p w14:paraId="178CFF93" w14:textId="77777777" w:rsidR="00730D95" w:rsidRPr="001C16BD" w:rsidRDefault="00730D95" w:rsidP="00730D95">
      <w:pPr>
        <w:pStyle w:val="FootnoteText"/>
      </w:pPr>
      <w:r>
        <w:rPr>
          <w:rStyle w:val="FootnoteReference"/>
        </w:rPr>
        <w:footnoteRef/>
      </w:r>
      <w:r>
        <w:t xml:space="preserve"> В состав межучрежденческой редакционной группы по подготовке СОФИ входят технические эксперты из ФАО, МФСР, ЮНИСЕФ, ВОЗ и ВПП.</w:t>
      </w:r>
    </w:p>
  </w:footnote>
  <w:footnote w:id="2">
    <w:p w14:paraId="1735702A" w14:textId="1D4B9AF5" w:rsidR="00730D95" w:rsidRPr="00ED1CE0" w:rsidRDefault="00730D95" w:rsidP="00730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СОФИ 2017</w:t>
        </w:r>
      </w:hyperlink>
      <w:r>
        <w:rPr>
          <w:color w:val="000000" w:themeColor="text1"/>
        </w:rPr>
        <w:t xml:space="preserve">, </w:t>
      </w:r>
      <w:hyperlink r:id="rId2" w:history="1">
        <w:r>
          <w:rPr>
            <w:rStyle w:val="Hyperlink"/>
          </w:rPr>
          <w:t>СОФИ 2018</w:t>
        </w:r>
      </w:hyperlink>
      <w:r>
        <w:rPr>
          <w:color w:val="000000" w:themeColor="text1"/>
        </w:rPr>
        <w:t xml:space="preserve">, </w:t>
      </w:r>
      <w:hyperlink r:id="rId3" w:history="1">
        <w:r>
          <w:rPr>
            <w:rStyle w:val="Hyperlink"/>
          </w:rPr>
          <w:t>СОФИ 2019</w:t>
        </w:r>
      </w:hyperlink>
      <w:r>
        <w:rPr>
          <w:color w:val="000000" w:themeColor="text1"/>
        </w:rPr>
        <w:t xml:space="preserve">, </w:t>
      </w:r>
      <w:hyperlink r:id="rId4" w:history="1">
        <w:r>
          <w:rPr>
            <w:rStyle w:val="Hyperlink"/>
          </w:rPr>
          <w:t>СОФИ 2020</w:t>
        </w:r>
      </w:hyperlink>
      <w:r>
        <w:t>.</w:t>
      </w:r>
    </w:p>
  </w:footnote>
  <w:footnote w:id="3">
    <w:p w14:paraId="781CB2DA" w14:textId="77777777" w:rsidR="00730D95" w:rsidRDefault="00730D95" w:rsidP="00730D95">
      <w:pPr>
        <w:pStyle w:val="FootnoteText"/>
      </w:pPr>
      <w:r>
        <w:rPr>
          <w:rStyle w:val="FootnoteReference"/>
        </w:rPr>
        <w:footnoteRef/>
      </w:r>
      <w:r>
        <w:t xml:space="preserve"> Необходимо отметить, что под термином «трансформационное изменение» мы подразумеваем инновационные упреждающие изменения, которые далеки от обычного порядка ведения дел, а также случаи, когда внедрение изменений приводит к повышению финансовой доступности питательного продовольствия и здорового питания.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FB9D" w14:textId="77777777" w:rsidR="00D7104D" w:rsidRDefault="00D7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7956F3" w:rsidRPr="00D7104D" w14:paraId="7DBC5ECB" w14:textId="77777777" w:rsidTr="00220FC1">
      <w:tc>
        <w:tcPr>
          <w:tcW w:w="249" w:type="pct"/>
        </w:tcPr>
        <w:p w14:paraId="02C8A6C8" w14:textId="77777777" w:rsidR="007956F3" w:rsidRPr="00B01341" w:rsidRDefault="007956F3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DD1BEB">
            <w:rPr>
              <w:noProof/>
              <w:color w:val="31849B"/>
              <w:sz w:val="20"/>
              <w:szCs w:val="20"/>
            </w:rPr>
            <w:t>3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317DEA15" w:rsidR="007956F3" w:rsidRPr="00B94709" w:rsidRDefault="00730D95" w:rsidP="00146CB3">
          <w:pPr>
            <w:pStyle w:val="top"/>
            <w:rPr>
              <w:rFonts w:eastAsia="Arial" w:cs="Arial"/>
              <w:u w:color="222222"/>
              <w:lang w:val="ru-RU"/>
            </w:rPr>
          </w:pPr>
          <w:r w:rsidRPr="00730D95">
            <w:rPr>
              <w:u w:color="222222"/>
              <w:shd w:val="clear" w:color="auto" w:fill="FFFFFF"/>
              <w:lang w:val="ru-RU"/>
            </w:rPr>
            <w:t>Приглашение  поделиться передовыми практиками в области преобразования продовольственных систем для обеспечения финансовой доступности здорового питания и устранения ключевых факторов отсутствия продовольственной безопасности и неполноценного питания</w:t>
          </w:r>
        </w:p>
      </w:tc>
    </w:tr>
  </w:tbl>
  <w:p w14:paraId="59EDF489" w14:textId="77777777" w:rsidR="007956F3" w:rsidRPr="00681C43" w:rsidRDefault="007956F3">
    <w:pP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AB20" w14:textId="708D4AEB" w:rsidR="007956F3" w:rsidRDefault="007956F3" w:rsidP="00E41A20">
    <w:pPr>
      <w:pStyle w:val="Header"/>
      <w:jc w:val="left"/>
      <w:rPr>
        <w:b/>
        <w:color w:val="FFFFFF"/>
      </w:rPr>
    </w:pPr>
    <w:r>
      <w:rPr>
        <w:b/>
        <w:noProof/>
        <w:color w:val="FFFFFF"/>
      </w:rPr>
      <w:drawing>
        <wp:inline distT="0" distB="0" distL="0" distR="0" wp14:anchorId="72B3A791" wp14:editId="4FCDEA8A">
          <wp:extent cx="6177035" cy="719455"/>
          <wp:effectExtent l="0" t="0" r="0" b="0"/>
          <wp:docPr id="8" name="Picture 8" descr="ESA:FSN Forum:_DESIGN and WEBSITE Verona:01_DOC template:TOPIC NOTE:img:FA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C5F7" w14:textId="77777777" w:rsidR="007956F3" w:rsidRDefault="007956F3" w:rsidP="00E41A20">
    <w:pPr>
      <w:pStyle w:val="Header"/>
      <w:jc w:val="right"/>
      <w:rPr>
        <w:b/>
        <w:color w:val="FFFFFF"/>
      </w:rPr>
    </w:pPr>
  </w:p>
  <w:p w14:paraId="31C4EF1F" w14:textId="0D3E9E00" w:rsidR="007956F3" w:rsidRPr="00135B4C" w:rsidRDefault="00135B4C" w:rsidP="00135B4C">
    <w:pPr>
      <w:pStyle w:val="Heading4"/>
    </w:pPr>
    <w:r>
      <w:rPr>
        <w:noProof/>
      </w:rPr>
      <w:drawing>
        <wp:inline distT="0" distB="0" distL="0" distR="0" wp14:anchorId="710E54EA" wp14:editId="309EE180">
          <wp:extent cx="6120765" cy="43243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R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7956F3" w:rsidRPr="00EB3574" w14:paraId="51BA683B" w14:textId="77777777" w:rsidTr="004F3FF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6B164DFA" w14:textId="77A980CF" w:rsidR="007956F3" w:rsidRPr="00E41A20" w:rsidRDefault="007956F3" w:rsidP="00B94709">
          <w:pPr>
            <w:pStyle w:val="Heading6"/>
          </w:pPr>
          <w:r w:rsidRPr="00681C43">
            <w:rPr>
              <w:noProof/>
              <w:color w:val="000000" w:themeColor="text1"/>
              <w:lang w:val="ru-RU"/>
            </w:rPr>
            <w:t xml:space="preserve">ТЕМА </w:t>
          </w:r>
        </w:p>
      </w:tc>
    </w:tr>
    <w:tr w:rsidR="007956F3" w:rsidRPr="00B94709" w14:paraId="0BCCCAD4" w14:textId="77777777" w:rsidTr="004F3FF6">
      <w:trPr>
        <w:jc w:val="center"/>
      </w:trPr>
      <w:tc>
        <w:tcPr>
          <w:tcW w:w="9639" w:type="dxa"/>
          <w:shd w:val="clear" w:color="auto" w:fill="FFFFFF" w:themeFill="background1"/>
        </w:tcPr>
        <w:p w14:paraId="7434C536" w14:textId="293CEE12" w:rsidR="00B94709" w:rsidRDefault="00B94709" w:rsidP="007956F3">
          <w:pPr>
            <w:spacing w:after="0" w:line="276" w:lineRule="auto"/>
            <w:jc w:val="center"/>
            <w:rPr>
              <w:rFonts w:asciiTheme="majorHAnsi" w:hAnsiTheme="majorHAnsi"/>
              <w:b/>
            </w:rPr>
          </w:pPr>
          <w:r w:rsidRPr="00036912">
            <w:rPr>
              <w:rFonts w:asciiTheme="majorHAnsi" w:hAnsiTheme="majorHAnsi"/>
              <w:b/>
            </w:rPr>
            <w:t>2</w:t>
          </w:r>
          <w:r w:rsidR="00122E17">
            <w:rPr>
              <w:rFonts w:asciiTheme="majorHAnsi" w:hAnsiTheme="majorHAnsi"/>
              <w:b/>
            </w:rPr>
            <w:t>4</w:t>
          </w:r>
          <w:r w:rsidRPr="00036912">
            <w:rPr>
              <w:rFonts w:asciiTheme="majorHAnsi" w:hAnsiTheme="majorHAnsi"/>
              <w:b/>
            </w:rPr>
            <w:t>.0</w:t>
          </w:r>
          <w:r w:rsidR="00730D95">
            <w:rPr>
              <w:rFonts w:asciiTheme="majorHAnsi" w:hAnsiTheme="majorHAnsi"/>
              <w:b/>
            </w:rPr>
            <w:t>2</w:t>
          </w:r>
          <w:r w:rsidRPr="00036912">
            <w:rPr>
              <w:rFonts w:asciiTheme="majorHAnsi" w:hAnsiTheme="majorHAnsi"/>
              <w:b/>
            </w:rPr>
            <w:t>.20</w:t>
          </w:r>
          <w:r w:rsidR="00730D95">
            <w:rPr>
              <w:rFonts w:asciiTheme="majorHAnsi" w:hAnsiTheme="majorHAnsi"/>
              <w:b/>
            </w:rPr>
            <w:t>21</w:t>
          </w:r>
          <w:r w:rsidRPr="00036912">
            <w:rPr>
              <w:rFonts w:asciiTheme="majorHAnsi" w:hAnsiTheme="majorHAnsi"/>
              <w:b/>
            </w:rPr>
            <w:t xml:space="preserve"> – </w:t>
          </w:r>
          <w:r w:rsidR="00D7104D">
            <w:rPr>
              <w:rFonts w:asciiTheme="majorHAnsi" w:hAnsiTheme="majorHAnsi"/>
              <w:b/>
            </w:rPr>
            <w:t>31</w:t>
          </w:r>
          <w:bookmarkStart w:id="1" w:name="_GoBack"/>
          <w:bookmarkEnd w:id="1"/>
          <w:r w:rsidRPr="00036912">
            <w:rPr>
              <w:rFonts w:asciiTheme="majorHAnsi" w:hAnsiTheme="majorHAnsi"/>
              <w:b/>
            </w:rPr>
            <w:t>.0</w:t>
          </w:r>
          <w:r w:rsidR="00730D95">
            <w:rPr>
              <w:rFonts w:asciiTheme="majorHAnsi" w:hAnsiTheme="majorHAnsi"/>
              <w:b/>
            </w:rPr>
            <w:t>3</w:t>
          </w:r>
          <w:r w:rsidRPr="00036912">
            <w:rPr>
              <w:rFonts w:asciiTheme="majorHAnsi" w:hAnsiTheme="majorHAnsi"/>
              <w:b/>
            </w:rPr>
            <w:t>.20</w:t>
          </w:r>
          <w:r w:rsidR="00730D95">
            <w:rPr>
              <w:rFonts w:asciiTheme="majorHAnsi" w:hAnsiTheme="majorHAnsi"/>
              <w:b/>
            </w:rPr>
            <w:t>21</w:t>
          </w:r>
        </w:p>
        <w:p w14:paraId="773D7560" w14:textId="74B0902D" w:rsidR="00730D95" w:rsidRPr="00730D95" w:rsidRDefault="00DE5C33" w:rsidP="00730D95">
          <w:pPr>
            <w:pStyle w:val="ListParagraph"/>
            <w:numPr>
              <w:ilvl w:val="0"/>
              <w:numId w:val="24"/>
            </w:num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hyperlink r:id="rId3" w:history="1">
            <w:r w:rsidR="00730D95" w:rsidRPr="00DF53F9">
              <w:rPr>
                <w:rStyle w:val="Hyperlink"/>
              </w:rPr>
              <w:t>www.fao.org/fsnforum/ru/activities/discussions/SOFI_transforming_food_systems</w:t>
            </w:r>
          </w:hyperlink>
        </w:p>
      </w:tc>
    </w:tr>
  </w:tbl>
  <w:p w14:paraId="3EDFD9A1" w14:textId="77777777" w:rsidR="007956F3" w:rsidRPr="00B94709" w:rsidRDefault="007956F3" w:rsidP="00EB35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BD1277"/>
    <w:multiLevelType w:val="hybridMultilevel"/>
    <w:tmpl w:val="188C1466"/>
    <w:lvl w:ilvl="0" w:tplc="EF5C2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AC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43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60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EE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EE0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EF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E9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C9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934DC6"/>
    <w:multiLevelType w:val="hybridMultilevel"/>
    <w:tmpl w:val="B1E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64DE4"/>
    <w:multiLevelType w:val="hybridMultilevel"/>
    <w:tmpl w:val="1C926CE8"/>
    <w:lvl w:ilvl="0" w:tplc="69648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86686"/>
    <w:multiLevelType w:val="hybridMultilevel"/>
    <w:tmpl w:val="DDA0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02A7"/>
    <w:multiLevelType w:val="hybridMultilevel"/>
    <w:tmpl w:val="BFB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F75"/>
    <w:multiLevelType w:val="hybridMultilevel"/>
    <w:tmpl w:val="6352D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0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8C41D2"/>
    <w:multiLevelType w:val="hybridMultilevel"/>
    <w:tmpl w:val="CA6AD088"/>
    <w:styleLink w:val="1"/>
    <w:lvl w:ilvl="0" w:tplc="958A5CC6">
      <w:start w:val="1"/>
      <w:numFmt w:val="bullet"/>
      <w:lvlText w:val="•"/>
      <w:lvlJc w:val="left"/>
      <w:pPr>
        <w:tabs>
          <w:tab w:val="left" w:pos="35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4822A0">
      <w:start w:val="1"/>
      <w:numFmt w:val="bullet"/>
      <w:lvlText w:val="o"/>
      <w:lvlJc w:val="left"/>
      <w:pPr>
        <w:tabs>
          <w:tab w:val="left" w:pos="352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FC92FA">
      <w:start w:val="1"/>
      <w:numFmt w:val="bullet"/>
      <w:lvlText w:val="▪"/>
      <w:lvlJc w:val="left"/>
      <w:pPr>
        <w:tabs>
          <w:tab w:val="left" w:pos="352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03246">
      <w:start w:val="1"/>
      <w:numFmt w:val="bullet"/>
      <w:lvlText w:val="•"/>
      <w:lvlJc w:val="left"/>
      <w:pPr>
        <w:tabs>
          <w:tab w:val="left" w:pos="352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09F5A">
      <w:start w:val="1"/>
      <w:numFmt w:val="bullet"/>
      <w:lvlText w:val="o"/>
      <w:lvlJc w:val="left"/>
      <w:pPr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10E574">
      <w:start w:val="1"/>
      <w:numFmt w:val="bullet"/>
      <w:lvlText w:val="▪"/>
      <w:lvlJc w:val="left"/>
      <w:pPr>
        <w:tabs>
          <w:tab w:val="left" w:pos="352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A6494">
      <w:start w:val="1"/>
      <w:numFmt w:val="bullet"/>
      <w:lvlText w:val="•"/>
      <w:lvlJc w:val="left"/>
      <w:pPr>
        <w:tabs>
          <w:tab w:val="left" w:pos="352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4DFBA">
      <w:start w:val="1"/>
      <w:numFmt w:val="bullet"/>
      <w:lvlText w:val="o"/>
      <w:lvlJc w:val="left"/>
      <w:pPr>
        <w:tabs>
          <w:tab w:val="left" w:pos="352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EBEF6">
      <w:start w:val="1"/>
      <w:numFmt w:val="bullet"/>
      <w:lvlText w:val="▪"/>
      <w:lvlJc w:val="left"/>
      <w:pPr>
        <w:tabs>
          <w:tab w:val="left" w:pos="352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9D60EDD"/>
    <w:multiLevelType w:val="hybridMultilevel"/>
    <w:tmpl w:val="CA6AD088"/>
    <w:numStyleLink w:val="1"/>
  </w:abstractNum>
  <w:abstractNum w:abstractNumId="23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10"/>
  </w:num>
  <w:num w:numId="5">
    <w:abstractNumId w:val="3"/>
  </w:num>
  <w:num w:numId="6">
    <w:abstractNumId w:val="15"/>
  </w:num>
  <w:num w:numId="7">
    <w:abstractNumId w:val="4"/>
  </w:num>
  <w:num w:numId="8">
    <w:abstractNumId w:val="6"/>
  </w:num>
  <w:num w:numId="9">
    <w:abstractNumId w:val="11"/>
  </w:num>
  <w:num w:numId="10">
    <w:abstractNumId w:val="17"/>
  </w:num>
  <w:num w:numId="11">
    <w:abstractNumId w:val="9"/>
  </w:num>
  <w:num w:numId="12">
    <w:abstractNumId w:val="17"/>
  </w:num>
  <w:num w:numId="13">
    <w:abstractNumId w:val="20"/>
  </w:num>
  <w:num w:numId="14">
    <w:abstractNumId w:val="2"/>
  </w:num>
  <w:num w:numId="15">
    <w:abstractNumId w:val="23"/>
  </w:num>
  <w:num w:numId="16">
    <w:abstractNumId w:val="5"/>
  </w:num>
  <w:num w:numId="17">
    <w:abstractNumId w:val="16"/>
  </w:num>
  <w:num w:numId="18">
    <w:abstractNumId w:val="12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9"/>
  </w:num>
  <w:num w:numId="24">
    <w:abstractNumId w:val="1"/>
  </w:num>
  <w:num w:numId="2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6"/>
    <w:rsid w:val="000008B1"/>
    <w:rsid w:val="00000D64"/>
    <w:rsid w:val="000043AB"/>
    <w:rsid w:val="00011040"/>
    <w:rsid w:val="00013288"/>
    <w:rsid w:val="00016690"/>
    <w:rsid w:val="00024193"/>
    <w:rsid w:val="00024380"/>
    <w:rsid w:val="00025F78"/>
    <w:rsid w:val="00037187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2E17"/>
    <w:rsid w:val="00124651"/>
    <w:rsid w:val="001306A8"/>
    <w:rsid w:val="00132A9C"/>
    <w:rsid w:val="00132C13"/>
    <w:rsid w:val="00135B4C"/>
    <w:rsid w:val="00136A0F"/>
    <w:rsid w:val="001379C1"/>
    <w:rsid w:val="00141249"/>
    <w:rsid w:val="001415B2"/>
    <w:rsid w:val="00143489"/>
    <w:rsid w:val="001436D5"/>
    <w:rsid w:val="00146CB3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645B"/>
    <w:rsid w:val="002D69D8"/>
    <w:rsid w:val="002E2407"/>
    <w:rsid w:val="002E3A18"/>
    <w:rsid w:val="002E57CC"/>
    <w:rsid w:val="002F3767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F9C"/>
    <w:rsid w:val="003A21B0"/>
    <w:rsid w:val="003A33D8"/>
    <w:rsid w:val="003A733D"/>
    <w:rsid w:val="003A7E03"/>
    <w:rsid w:val="003B57BE"/>
    <w:rsid w:val="003C0174"/>
    <w:rsid w:val="003C60A8"/>
    <w:rsid w:val="003D01FA"/>
    <w:rsid w:val="003D18D6"/>
    <w:rsid w:val="003D25A7"/>
    <w:rsid w:val="003D6FC2"/>
    <w:rsid w:val="003D7EA4"/>
    <w:rsid w:val="003E1E02"/>
    <w:rsid w:val="003E7A41"/>
    <w:rsid w:val="003F1596"/>
    <w:rsid w:val="004001EC"/>
    <w:rsid w:val="00400549"/>
    <w:rsid w:val="00402F5C"/>
    <w:rsid w:val="00413C59"/>
    <w:rsid w:val="004140C2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4003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3FF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70CF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1A6E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1C43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0D95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858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56F3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A43B3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94709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707F"/>
    <w:rsid w:val="00C70BAF"/>
    <w:rsid w:val="00C756AB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104D"/>
    <w:rsid w:val="00D734AF"/>
    <w:rsid w:val="00D804F4"/>
    <w:rsid w:val="00D80B4D"/>
    <w:rsid w:val="00D81E04"/>
    <w:rsid w:val="00D828DB"/>
    <w:rsid w:val="00D8370B"/>
    <w:rsid w:val="00D8573F"/>
    <w:rsid w:val="00D91953"/>
    <w:rsid w:val="00D92374"/>
    <w:rsid w:val="00DA6599"/>
    <w:rsid w:val="00DB14AF"/>
    <w:rsid w:val="00DB1CDF"/>
    <w:rsid w:val="00DB798F"/>
    <w:rsid w:val="00DC315B"/>
    <w:rsid w:val="00DD0934"/>
    <w:rsid w:val="00DD1BEB"/>
    <w:rsid w:val="00DE5C33"/>
    <w:rsid w:val="00DF01A6"/>
    <w:rsid w:val="00DF4E15"/>
    <w:rsid w:val="00E03AAE"/>
    <w:rsid w:val="00E10963"/>
    <w:rsid w:val="00E1150C"/>
    <w:rsid w:val="00E1246A"/>
    <w:rsid w:val="00E14818"/>
    <w:rsid w:val="00E168CD"/>
    <w:rsid w:val="00E240A1"/>
    <w:rsid w:val="00E257AD"/>
    <w:rsid w:val="00E32087"/>
    <w:rsid w:val="00E3306F"/>
    <w:rsid w:val="00E36ED5"/>
    <w:rsid w:val="00E37166"/>
    <w:rsid w:val="00E419B2"/>
    <w:rsid w:val="00E41A20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5CFB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C41F"/>
  <w15:docId w15:val="{A8855FEA-42EE-49CD-88FB-C987928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6E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5D1A6E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1A2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1A6E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41A20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a">
    <w:name w:val="Текстовый блок"/>
    <w:rsid w:val="004F3F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Hyperlink0">
    <w:name w:val="Hyperlink.0"/>
    <w:basedOn w:val="DefaultParagraphFont"/>
    <w:rsid w:val="00146CB3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1">
    <w:name w:val="Импортированный стиль 1"/>
    <w:rsid w:val="00146CB3"/>
    <w:pPr>
      <w:numPr>
        <w:numId w:val="20"/>
      </w:numPr>
    </w:pPr>
  </w:style>
  <w:style w:type="paragraph" w:customStyle="1" w:styleId="NewPara">
    <w:name w:val="NewPara"/>
    <w:basedOn w:val="ListParagraph"/>
    <w:link w:val="NewParaChar"/>
    <w:qFormat/>
    <w:rsid w:val="00B94709"/>
    <w:pPr>
      <w:numPr>
        <w:numId w:val="23"/>
      </w:numPr>
      <w:spacing w:after="200" w:line="240" w:lineRule="auto"/>
      <w:jc w:val="left"/>
    </w:pPr>
    <w:rPr>
      <w:rFonts w:ascii="Times New Roman" w:eastAsiaTheme="minorHAnsi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B94709"/>
    <w:rPr>
      <w:rFonts w:ascii="Times New Roman" w:eastAsiaTheme="minorHAnsi" w:hAnsi="Times New Roman" w:cs="Akhbar MT"/>
      <w:sz w:val="22"/>
      <w:szCs w:val="3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o.org/3/ca5162ru/ca5162ru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o.org/3/ca5162ru/ca5162ru.pdf" TargetMode="External"/><Relationship Id="rId17" Type="http://schemas.openxmlformats.org/officeDocument/2006/relationships/hyperlink" Target="mailto:fsn-moderator@fao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ssets.fsnforum.fao.org.s3-eu-west-1.amazonaws.com/public/TEMPLATE_RU_SOFI_food_systems_transformation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3/I9553RU/i9553ru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o.org/3/ca9692en/CA9692EN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ao.org/3/I7695r/I7695r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ao.org/publications/sofi/ru/" TargetMode="External"/><Relationship Id="rId14" Type="http://schemas.openxmlformats.org/officeDocument/2006/relationships/hyperlink" Target="http://www.fao.org/3/ca9692ru/CA9692RU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3/ca5162ru/ca5162ru.pdf" TargetMode="External"/><Relationship Id="rId2" Type="http://schemas.openxmlformats.org/officeDocument/2006/relationships/hyperlink" Target="http://www.fao.org/3/I9553RU/i9553RU.pdf" TargetMode="External"/><Relationship Id="rId1" Type="http://schemas.openxmlformats.org/officeDocument/2006/relationships/hyperlink" Target="http://www.fao.org/3/a-I7695r.pdf" TargetMode="External"/><Relationship Id="rId4" Type="http://schemas.openxmlformats.org/officeDocument/2006/relationships/hyperlink" Target="http://www.fao.org/3/ca9692ru/CA9692RU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fsnforum/ru/activities/discussions/SOFI_transforming_food_system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174B-CDC5-4961-8AE2-3E4B3158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7821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5</cp:revision>
  <cp:lastPrinted>2015-02-02T14:02:00Z</cp:lastPrinted>
  <dcterms:created xsi:type="dcterms:W3CDTF">2021-02-22T15:17:00Z</dcterms:created>
  <dcterms:modified xsi:type="dcterms:W3CDTF">2021-03-10T14:21:00Z</dcterms:modified>
</cp:coreProperties>
</file>