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0D3EFD3" w14:textId="77777777" w:rsidR="00026FC7" w:rsidRDefault="003C44E9" w:rsidP="00BC65EF">
      <w:pPr>
        <w:pStyle w:val="Body"/>
        <w:spacing w:after="0"/>
        <w:rPr>
          <w:lang w:val="en-GB"/>
        </w:rPr>
      </w:pPr>
      <w:r>
        <w:rPr>
          <w:rFonts w:ascii="L Univers 45 Light" w:eastAsia="L Univers 45 Light" w:hAnsi="L Univers 45 Light" w:cs="L Univers 45 Light"/>
          <w:noProof/>
          <w:lang w:val="en-GB" w:eastAsia="zh-CN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023CFDBA" wp14:editId="78DE8BED">
                <wp:simplePos x="0" y="0"/>
                <wp:positionH relativeFrom="margin">
                  <wp:align>right</wp:align>
                </wp:positionH>
                <wp:positionV relativeFrom="line">
                  <wp:posOffset>0</wp:posOffset>
                </wp:positionV>
                <wp:extent cx="6252210" cy="895350"/>
                <wp:effectExtent l="0" t="0" r="15240" b="19050"/>
                <wp:wrapThrough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hrough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2210" cy="895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4EB29" w14:textId="77777777" w:rsidR="00243AA7" w:rsidRPr="003C44E9" w:rsidRDefault="00DE3A21" w:rsidP="003C44E9"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pacing w:val="-9"/>
                                <w:sz w:val="48"/>
                                <w:szCs w:val="48"/>
                                <w:u w:color="FFFFFF"/>
                              </w:rPr>
                            </w:pPr>
                            <w:r w:rsidRPr="003C44E9">
                              <w:rPr>
                                <w:rFonts w:ascii="Times New Roman"/>
                                <w:color w:val="0070C0"/>
                                <w:spacing w:val="-9"/>
                                <w:sz w:val="48"/>
                                <w:szCs w:val="48"/>
                                <w:u w:color="FFFFFF"/>
                              </w:rPr>
                              <w:t>Nutrition &amp; Resilience</w:t>
                            </w:r>
                          </w:p>
                          <w:p w14:paraId="6B8E2A8E" w14:textId="77777777" w:rsidR="00DE3A21" w:rsidRPr="003C44E9" w:rsidRDefault="00DE3A21" w:rsidP="00026FC7"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pacing w:val="-9"/>
                                <w:sz w:val="48"/>
                                <w:szCs w:val="48"/>
                                <w:u w:color="FFFFFF"/>
                              </w:rPr>
                            </w:pPr>
                            <w:r w:rsidRPr="003C44E9">
                              <w:rPr>
                                <w:rFonts w:ascii="Times New Roman"/>
                                <w:i/>
                                <w:iCs/>
                                <w:color w:val="0070C0"/>
                                <w:spacing w:val="-9"/>
                                <w:sz w:val="32"/>
                                <w:szCs w:val="32"/>
                                <w:u w:color="FFFFFF"/>
                              </w:rPr>
                              <w:t xml:space="preserve">Nutrition as an input to and an outcome of resilience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500DE6" id="officeArt object" o:spid="_x0000_s1026" style="position:absolute;margin-left:441.1pt;margin-top:0;width:492.3pt;height:70.5pt;z-index:251659264;visibility:visible;mso-wrap-style:square;mso-width-percent:0;mso-height-percent:0;mso-wrap-distance-left:4.5pt;mso-wrap-distance-top:4.5pt;mso-wrap-distance-right:4.5pt;mso-wrap-distance-bottom:4.5pt;mso-position-horizontal:righ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" filled="f" strokecolor="#499bc9 [3204]" strokeweight="2pt">
                <v:path arrowok="t"/>
                <v:textbox inset="0,0,0,0">
                  <w:txbxContent>
                    <w:p w:rsidR="00243AA7" w:rsidRPr="003C44E9" w:rsidRDefault="00DE3A21" w:rsidP="003C44E9">
                      <w:pPr>
                        <w:pStyle w:val="Body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70C0"/>
                          <w:spacing w:val="-9"/>
                          <w:sz w:val="48"/>
                          <w:szCs w:val="48"/>
                          <w:u w:color="FFFFFF"/>
                        </w:rPr>
                      </w:pPr>
                      <w:r w:rsidRPr="003C44E9">
                        <w:rPr>
                          <w:rFonts w:ascii="Times New Roman"/>
                          <w:color w:val="0070C0"/>
                          <w:spacing w:val="-9"/>
                          <w:sz w:val="48"/>
                          <w:szCs w:val="48"/>
                          <w:u w:color="FFFFFF"/>
                        </w:rPr>
                        <w:t>Nutrition &amp; Resilience</w:t>
                      </w:r>
                    </w:p>
                    <w:p w:rsidR="00DE3A21" w:rsidRPr="003C44E9" w:rsidRDefault="00DE3A21" w:rsidP="00026FC7">
                      <w:pPr>
                        <w:pStyle w:val="Body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70C0"/>
                          <w:spacing w:val="-9"/>
                          <w:sz w:val="48"/>
                          <w:szCs w:val="48"/>
                          <w:u w:color="FFFFFF"/>
                        </w:rPr>
                      </w:pPr>
                      <w:r w:rsidRPr="003C44E9">
                        <w:rPr>
                          <w:rFonts w:ascii="Times New Roman"/>
                          <w:i/>
                          <w:iCs/>
                          <w:color w:val="0070C0"/>
                          <w:spacing w:val="-9"/>
                          <w:sz w:val="32"/>
                          <w:szCs w:val="32"/>
                          <w:u w:color="FFFFFF"/>
                        </w:rPr>
                        <w:t xml:space="preserve">Nutrition as an input to and an outcome of resilience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Pr="00D905DD">
        <w:rPr>
          <w:rFonts w:ascii="Times New Roman"/>
          <w:noProof/>
          <w:sz w:val="24"/>
          <w:szCs w:val="24"/>
          <w:lang w:val="en-GB" w:eastAsia="zh-CN"/>
        </w:rPr>
        <w:drawing>
          <wp:anchor distT="0" distB="0" distL="114300" distR="114300" simplePos="0" relativeHeight="251658240" behindDoc="0" locked="0" layoutInCell="1" allowOverlap="1" wp14:anchorId="0CAB0E9F" wp14:editId="195C9632">
            <wp:simplePos x="0" y="0"/>
            <wp:positionH relativeFrom="column">
              <wp:posOffset>5448300</wp:posOffset>
            </wp:positionH>
            <wp:positionV relativeFrom="paragraph">
              <wp:posOffset>57150</wp:posOffset>
            </wp:positionV>
            <wp:extent cx="494665" cy="487045"/>
            <wp:effectExtent l="0" t="0" r="635" b="8255"/>
            <wp:wrapSquare wrapText="bothSides"/>
            <wp:docPr id="8" name="Image 8" descr="FA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FAO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GB" w:eastAsia="zh-CN"/>
        </w:rPr>
        <w:drawing>
          <wp:anchor distT="0" distB="0" distL="114300" distR="114300" simplePos="0" relativeHeight="251671552" behindDoc="0" locked="0" layoutInCell="1" allowOverlap="1" wp14:anchorId="0FFACAFE" wp14:editId="234A290C">
            <wp:simplePos x="0" y="0"/>
            <wp:positionH relativeFrom="column">
              <wp:posOffset>89535</wp:posOffset>
            </wp:positionH>
            <wp:positionV relativeFrom="paragraph">
              <wp:posOffset>104775</wp:posOffset>
            </wp:positionV>
            <wp:extent cx="1247775" cy="343535"/>
            <wp:effectExtent l="0" t="0" r="0" b="12065"/>
            <wp:wrapSquare wrapText="bothSides"/>
            <wp:docPr id="1073741826" name="Image 1073741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43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136"/>
      </w:tblGrid>
      <w:tr w:rsidR="008B1D0B" w:rsidRPr="002912D5" w14:paraId="21D73F1F" w14:textId="77777777" w:rsidTr="00317C75">
        <w:trPr>
          <w:trHeight w:val="530"/>
        </w:trPr>
        <w:tc>
          <w:tcPr>
            <w:tcW w:w="10184" w:type="dxa"/>
            <w:shd w:val="clear" w:color="auto" w:fill="DBE5F1"/>
          </w:tcPr>
          <w:p w14:paraId="7DA44425" w14:textId="0F7F582D" w:rsidR="008B1D0B" w:rsidRPr="00BC65EF" w:rsidRDefault="00BC65EF" w:rsidP="00317C75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BC65EF">
              <w:rPr>
                <w:rFonts w:ascii="Calibri" w:hAnsi="Calibri"/>
                <w:sz w:val="22"/>
                <w:szCs w:val="22"/>
                <w:lang w:val="en-GB"/>
              </w:rPr>
              <w:t>Resilience is defined as t</w:t>
            </w:r>
            <w:r w:rsidR="008B1D0B" w:rsidRPr="00BC65EF">
              <w:rPr>
                <w:rFonts w:ascii="Calibri" w:hAnsi="Calibri"/>
                <w:sz w:val="22"/>
                <w:szCs w:val="22"/>
              </w:rPr>
              <w:t>he ability of children, communities and systems to withstand, anticipate, prevent, adapt and recover from stresses and shocks, a</w:t>
            </w:r>
            <w:r w:rsidR="008B1D0B" w:rsidRPr="00BC65EF">
              <w:rPr>
                <w:rFonts w:ascii="Calibri" w:hAnsi="Calibri"/>
                <w:bCs/>
                <w:sz w:val="22"/>
                <w:szCs w:val="22"/>
              </w:rPr>
              <w:t xml:space="preserve">dvancing the rights of every child, with special </w:t>
            </w:r>
            <w:commentRangeStart w:id="1"/>
            <w:r w:rsidR="008B1D0B" w:rsidRPr="00BC65EF">
              <w:rPr>
                <w:rFonts w:ascii="Calibri" w:hAnsi="Calibri"/>
                <w:bCs/>
                <w:sz w:val="22"/>
                <w:szCs w:val="22"/>
              </w:rPr>
              <w:t>attention</w:t>
            </w:r>
            <w:commentRangeEnd w:id="1"/>
            <w:r w:rsidR="008D0598">
              <w:rPr>
                <w:rStyle w:val="CommentReference"/>
                <w:rFonts w:eastAsia="Arial Unicode MS"/>
                <w:color w:val="auto"/>
                <w:bdr w:val="nil"/>
              </w:rPr>
              <w:commentReference w:id="1"/>
            </w:r>
            <w:r w:rsidR="008B1D0B" w:rsidRPr="00BC65EF">
              <w:rPr>
                <w:rFonts w:ascii="Calibri" w:hAnsi="Calibri"/>
                <w:bCs/>
                <w:sz w:val="22"/>
                <w:szCs w:val="22"/>
              </w:rPr>
              <w:t xml:space="preserve"> to the most vulnerable and disadvantaged children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 w:rsidR="008D0598">
              <w:rPr>
                <w:rStyle w:val="FootnoteReference"/>
                <w:rFonts w:ascii="Calibri" w:hAnsi="Calibri"/>
                <w:sz w:val="22"/>
                <w:szCs w:val="22"/>
                <w:lang w:val="en-GB"/>
              </w:rPr>
              <w:footnoteReference w:id="2"/>
            </w:r>
          </w:p>
        </w:tc>
      </w:tr>
    </w:tbl>
    <w:p w14:paraId="599D4F84" w14:textId="77777777" w:rsidR="00BC65EF" w:rsidRDefault="00BC65EF" w:rsidP="00243AA7">
      <w:pPr>
        <w:pStyle w:val="Heading2"/>
        <w:spacing w:before="0"/>
        <w:rPr>
          <w:rFonts w:ascii="Calibri" w:eastAsia="Calibri" w:hAnsi="Calibri" w:cs="Calibri"/>
          <w:b w:val="0"/>
          <w:bCs w:val="0"/>
          <w:color w:val="000000"/>
          <w:sz w:val="22"/>
          <w:szCs w:val="22"/>
          <w:u w:color="000000"/>
          <w:lang w:val="en-GB"/>
        </w:rPr>
      </w:pPr>
    </w:p>
    <w:p w14:paraId="03007132" w14:textId="77777777" w:rsidR="0027532F" w:rsidRPr="004D5F7F" w:rsidRDefault="00026FC7" w:rsidP="00243AA7">
      <w:pPr>
        <w:pStyle w:val="Heading2"/>
        <w:spacing w:before="0"/>
        <w:rPr>
          <w:rFonts w:ascii="Calibri" w:hAnsi="Calibri"/>
        </w:rPr>
      </w:pPr>
      <w:r>
        <w:rPr>
          <w:rFonts w:ascii="Calibri" w:hAnsi="Calibri"/>
        </w:rPr>
        <w:t xml:space="preserve">Why do nutrition and resilience matter to each other? </w:t>
      </w:r>
    </w:p>
    <w:p w14:paraId="43033067" w14:textId="1F06AAA3" w:rsidR="0027532F" w:rsidRPr="004D5F7F" w:rsidRDefault="001C3FB8" w:rsidP="00895AAD">
      <w:pPr>
        <w:pStyle w:val="Body"/>
        <w:jc w:val="both"/>
      </w:pPr>
      <w:r w:rsidRPr="00BC65EF">
        <w:rPr>
          <w:bCs/>
        </w:rPr>
        <w:t>Shocks and crises have increased both in frequency and intensity in recent years.</w:t>
      </w:r>
      <w:r w:rsidRPr="00BC65EF">
        <w:rPr>
          <w:bCs/>
          <w:vertAlign w:val="superscript"/>
        </w:rPr>
        <w:footnoteReference w:id="3"/>
      </w:r>
      <w:r w:rsidRPr="00BC65EF">
        <w:t xml:space="preserve"> The most significant increases have been in Sub-Saharan Africa – where the number of disasters per year more than doubled between 1990 and 2012 – and Asia, the world’s most disaster-prone region. </w:t>
      </w:r>
      <w:r w:rsidR="00895AAD">
        <w:t>Crisis-prone countries are often those with the highest prevalence of under-nutrition in young children</w:t>
      </w:r>
      <w:r w:rsidR="00895AAD">
        <w:rPr>
          <w:rStyle w:val="FootnoteReference"/>
        </w:rPr>
        <w:footnoteReference w:id="4"/>
      </w:r>
      <w:r w:rsidR="00895AAD">
        <w:t xml:space="preserve">. </w:t>
      </w:r>
      <w:r w:rsidRPr="004D5F7F">
        <w:t>Cris</w:t>
      </w:r>
      <w:r w:rsidR="00892D35">
        <w:t>e</w:t>
      </w:r>
      <w:r w:rsidRPr="004D5F7F">
        <w:t>s</w:t>
      </w:r>
      <w:r w:rsidR="00C81ED3">
        <w:t xml:space="preserve"> have a negative impact on nutrition outcomes while</w:t>
      </w:r>
      <w:r w:rsidR="00C81ED3" w:rsidRPr="004D5F7F">
        <w:t xml:space="preserve"> under-nutrition increases people’</w:t>
      </w:r>
      <w:r w:rsidR="00C81ED3">
        <w:t xml:space="preserve">s vulnerabilities and </w:t>
      </w:r>
      <w:r w:rsidR="00892D35">
        <w:t xml:space="preserve">undermine </w:t>
      </w:r>
      <w:r w:rsidR="00C81ED3" w:rsidRPr="004D5F7F">
        <w:t xml:space="preserve">their </w:t>
      </w:r>
      <w:r w:rsidR="00C81ED3">
        <w:t>in</w:t>
      </w:r>
      <w:r w:rsidR="00C81ED3" w:rsidRPr="004D5F7F">
        <w:t>abilities to bounce back</w:t>
      </w:r>
      <w:r w:rsidR="00C81ED3">
        <w:t xml:space="preserve"> after periods of adversity. </w:t>
      </w:r>
      <w:r w:rsidR="00895AAD">
        <w:t xml:space="preserve">In other words </w:t>
      </w:r>
      <w:r w:rsidR="00895AAD" w:rsidRPr="004D5F7F">
        <w:t xml:space="preserve">resilience is necessary to prevent further deterioration of the nutritional status of crisis-affected populations </w:t>
      </w:r>
      <w:r w:rsidR="00895AAD">
        <w:t>and n</w:t>
      </w:r>
      <w:r w:rsidRPr="004D5F7F">
        <w:t xml:space="preserve">utrition is </w:t>
      </w:r>
      <w:r w:rsidR="00892D35">
        <w:t xml:space="preserve">a </w:t>
      </w:r>
      <w:r w:rsidRPr="004D5F7F">
        <w:t xml:space="preserve">critical </w:t>
      </w:r>
      <w:r w:rsidR="00892D35">
        <w:t xml:space="preserve">prerequisite </w:t>
      </w:r>
      <w:r w:rsidRPr="004D5F7F">
        <w:t xml:space="preserve">to strengthen </w:t>
      </w:r>
      <w:r w:rsidR="00116020">
        <w:t xml:space="preserve">both community and individual </w:t>
      </w:r>
      <w:r w:rsidRPr="004D5F7F">
        <w:t xml:space="preserve">resilience. </w:t>
      </w:r>
      <w:r w:rsidR="00116020">
        <w:t xml:space="preserve">They </w:t>
      </w:r>
      <w:r w:rsidRPr="004D5F7F">
        <w:t>mutually re-enforce each other.</w:t>
      </w:r>
    </w:p>
    <w:p w14:paraId="6C64C3D2" w14:textId="5DCCEDC7" w:rsidR="0027532F" w:rsidRPr="004D5F7F" w:rsidRDefault="001C3FB8">
      <w:pPr>
        <w:pStyle w:val="Heading2"/>
        <w:spacing w:line="240" w:lineRule="auto"/>
        <w:rPr>
          <w:rFonts w:ascii="Calibri" w:hAnsi="Calibri"/>
        </w:rPr>
      </w:pPr>
      <w:r w:rsidRPr="004D5F7F">
        <w:rPr>
          <w:rFonts w:ascii="Calibri" w:hAnsi="Calibri"/>
        </w:rPr>
        <w:t xml:space="preserve">What does </w:t>
      </w:r>
      <w:r w:rsidR="00892D35">
        <w:rPr>
          <w:rFonts w:ascii="Calibri" w:hAnsi="Calibri"/>
        </w:rPr>
        <w:t>resilience</w:t>
      </w:r>
      <w:r w:rsidRPr="004D5F7F">
        <w:rPr>
          <w:rFonts w:ascii="Calibri" w:hAnsi="Calibri"/>
        </w:rPr>
        <w:t xml:space="preserve"> mean programmatically? </w:t>
      </w:r>
    </w:p>
    <w:p w14:paraId="70B94F6A" w14:textId="77777777" w:rsidR="00895AAD" w:rsidRDefault="001C3FB8" w:rsidP="00895AAD">
      <w:pPr>
        <w:pStyle w:val="Body"/>
        <w:jc w:val="both"/>
      </w:pPr>
      <w:r w:rsidRPr="004D5F7F">
        <w:t>While improving nutrition in high burden and high risk areas should be central to resilience</w:t>
      </w:r>
      <w:r w:rsidR="008A34BC">
        <w:t xml:space="preserve"> which requires </w:t>
      </w:r>
      <w:r w:rsidR="00892D35">
        <w:t>a multi-sectoral approach</w:t>
      </w:r>
      <w:r w:rsidRPr="004D5F7F">
        <w:t xml:space="preserve">, programs and strategies aiming to address and prevent under-nutrition should also have a </w:t>
      </w:r>
      <w:r w:rsidRPr="008D0598">
        <w:t>resilience</w:t>
      </w:r>
      <w:r w:rsidR="00116020" w:rsidRPr="008D0598">
        <w:t xml:space="preserve"> focus</w:t>
      </w:r>
      <w:r w:rsidR="00892D35" w:rsidRPr="008D0598">
        <w:t xml:space="preserve"> through</w:t>
      </w:r>
      <w:r w:rsidR="00892D35">
        <w:t xml:space="preserve"> being risk-informed</w:t>
      </w:r>
      <w:r w:rsidRPr="004D5F7F">
        <w:t xml:space="preserve">. </w:t>
      </w:r>
      <w:r w:rsidR="00303FEC" w:rsidRPr="00303FEC">
        <w:t xml:space="preserve"> </w:t>
      </w:r>
    </w:p>
    <w:p w14:paraId="102886BA" w14:textId="0AF07D06" w:rsidR="00895AAD" w:rsidRDefault="001C3FB8" w:rsidP="00895AAD">
      <w:pPr>
        <w:pStyle w:val="Body"/>
        <w:jc w:val="both"/>
      </w:pPr>
      <w:r w:rsidRPr="004D5F7F">
        <w:t>Improving nutrition in crisis-prone areas will only be possible through a multi-sectoral approach</w:t>
      </w:r>
      <w:r w:rsidR="001E3BDF">
        <w:t>.</w:t>
      </w:r>
      <w:r w:rsidRPr="004D5F7F">
        <w:t xml:space="preserve"> </w:t>
      </w:r>
      <w:r w:rsidR="001E3BDF">
        <w:t>H</w:t>
      </w:r>
      <w:r w:rsidR="001E3BDF" w:rsidRPr="004D5F7F">
        <w:t xml:space="preserve">umanitarian </w:t>
      </w:r>
      <w:r w:rsidRPr="004D5F7F">
        <w:t xml:space="preserve">and development actors </w:t>
      </w:r>
      <w:r w:rsidR="00895AAD">
        <w:t xml:space="preserve">need to </w:t>
      </w:r>
      <w:r w:rsidR="00895AAD" w:rsidRPr="008D0598">
        <w:t>better</w:t>
      </w:r>
      <w:r w:rsidR="001E3BDF" w:rsidRPr="008D0598">
        <w:t xml:space="preserve"> </w:t>
      </w:r>
      <w:r w:rsidRPr="008D0598">
        <w:t xml:space="preserve">work together to address underlying causes of </w:t>
      </w:r>
      <w:r w:rsidR="00EC0BB9" w:rsidRPr="008D0598">
        <w:t>under-nutrition through preventive and curative</w:t>
      </w:r>
      <w:r w:rsidRPr="008D0598">
        <w:t xml:space="preserve"> interventions</w:t>
      </w:r>
      <w:r w:rsidR="001E3BDF" w:rsidRPr="008D0598">
        <w:t>.</w:t>
      </w:r>
      <w:r w:rsidR="00892D35" w:rsidRPr="008D0598">
        <w:t xml:space="preserve"> R</w:t>
      </w:r>
      <w:r w:rsidR="001E3BDF" w:rsidRPr="008D0598">
        <w:t>esilience requires</w:t>
      </w:r>
      <w:r w:rsidR="001E3BDF">
        <w:t xml:space="preserve"> that such interventions be</w:t>
      </w:r>
      <w:r w:rsidRPr="004D5F7F">
        <w:t xml:space="preserve"> implemented before, during and after a crisis. Under-nutrition cannot be addressed in </w:t>
      </w:r>
      <w:r w:rsidR="001E3BDF">
        <w:t xml:space="preserve">only </w:t>
      </w:r>
      <w:r w:rsidRPr="004D5F7F">
        <w:t xml:space="preserve">a vertical manner or in a manner that </w:t>
      </w:r>
      <w:r w:rsidR="001E3BDF">
        <w:t>merely</w:t>
      </w:r>
      <w:r w:rsidR="001E3BDF" w:rsidRPr="004D5F7F">
        <w:t xml:space="preserve"> </w:t>
      </w:r>
      <w:r w:rsidRPr="004D5F7F">
        <w:t>addresses immediate</w:t>
      </w:r>
      <w:r w:rsidR="002363E1">
        <w:t xml:space="preserve"> </w:t>
      </w:r>
      <w:r w:rsidR="00895AAD">
        <w:t xml:space="preserve">underlying </w:t>
      </w:r>
      <w:r w:rsidRPr="004D5F7F">
        <w:t xml:space="preserve">causes of under-nutrition. This has too often been the case in humanitarian situations. The continuum of care between prevention and </w:t>
      </w:r>
      <w:r w:rsidR="008D0598" w:rsidRPr="004D5F7F">
        <w:t>treatment</w:t>
      </w:r>
      <w:r w:rsidR="00FE1572">
        <w:t>,</w:t>
      </w:r>
      <w:r w:rsidRPr="004D5F7F">
        <w:t xml:space="preserve"> short term and long term actions </w:t>
      </w:r>
      <w:r w:rsidR="00FE1572">
        <w:t xml:space="preserve">as well as humanitarian and development </w:t>
      </w:r>
      <w:r w:rsidRPr="004D5F7F">
        <w:t>is critical.</w:t>
      </w:r>
      <w:r w:rsidR="00895AAD">
        <w:t xml:space="preserve"> </w:t>
      </w:r>
    </w:p>
    <w:p w14:paraId="7DC552BA" w14:textId="082F5377" w:rsidR="0027532F" w:rsidRPr="004D5F7F" w:rsidRDefault="001C3FB8" w:rsidP="00EC0BB9">
      <w:pPr>
        <w:pStyle w:val="Body"/>
        <w:jc w:val="both"/>
      </w:pPr>
      <w:r w:rsidRPr="004D5F7F">
        <w:t xml:space="preserve">In addition, nutrition programs and strategies need to have a resilience </w:t>
      </w:r>
      <w:r w:rsidR="00DA7663">
        <w:t>focus</w:t>
      </w:r>
      <w:r w:rsidR="00DA7663" w:rsidRPr="004D5F7F">
        <w:t xml:space="preserve"> </w:t>
      </w:r>
      <w:r w:rsidRPr="004D5F7F">
        <w:t>by being risk-informed. A better analysis of risks at community and system levels will help</w:t>
      </w:r>
      <w:r w:rsidR="008A34BC">
        <w:t xml:space="preserve"> guide action to</w:t>
      </w:r>
      <w:r w:rsidRPr="004D5F7F">
        <w:t xml:space="preserve"> build capacities to adopt adequate and timely strategies, based on magnitude</w:t>
      </w:r>
      <w:r w:rsidR="00DA7663">
        <w:t>s</w:t>
      </w:r>
      <w:r w:rsidRPr="004D5F7F">
        <w:t xml:space="preserve"> of stress. These capacities can be classified </w:t>
      </w:r>
      <w:r w:rsidR="00DA7663">
        <w:t xml:space="preserve"> into </w:t>
      </w:r>
      <w:r w:rsidRPr="004D5F7F">
        <w:t xml:space="preserve">3 dimensions (Bene et al, 2012): a) Absorptive capacity: households, communities and systems protect themselves from shocks and mitigate the impact on their lifestyle; b) Adaptive capacity: gradual adjustment of lifestyles and systems to the effects of stress or shock so as to be less vulnerable in the future; c) Transformative capacity: the capacity or ability to create a new system or change lifestyles when conditions require permanently adapting to a new or changing environment. </w:t>
      </w:r>
      <w:r w:rsidR="00DA7663">
        <w:t>Better</w:t>
      </w:r>
      <w:r w:rsidRPr="004D5F7F">
        <w:t xml:space="preserve"> risk analysis at the </w:t>
      </w:r>
      <w:r w:rsidR="008A34BC">
        <w:t xml:space="preserve">program </w:t>
      </w:r>
      <w:r w:rsidRPr="004D5F7F">
        <w:t>design and monitoring phase</w:t>
      </w:r>
      <w:r w:rsidR="00DA7663">
        <w:t>s</w:t>
      </w:r>
      <w:r w:rsidRPr="004D5F7F">
        <w:t xml:space="preserve"> will also ensure that programs are flexible and adaptable, in order to respond to changing and increasing needs during crises.</w:t>
      </w:r>
    </w:p>
    <w:p w14:paraId="16039C83" w14:textId="77777777" w:rsidR="0027532F" w:rsidRPr="004D5F7F" w:rsidRDefault="001C3FB8">
      <w:pPr>
        <w:pStyle w:val="Heading2"/>
        <w:spacing w:line="240" w:lineRule="auto"/>
        <w:rPr>
          <w:rFonts w:ascii="Calibri" w:hAnsi="Calibri"/>
        </w:rPr>
      </w:pPr>
      <w:r w:rsidRPr="004D5F7F">
        <w:rPr>
          <w:rFonts w:ascii="Calibri" w:hAnsi="Calibri"/>
        </w:rPr>
        <w:lastRenderedPageBreak/>
        <w:t>What do we need to do?</w:t>
      </w:r>
    </w:p>
    <w:p w14:paraId="239819A5" w14:textId="6CF35C75" w:rsidR="0027532F" w:rsidRPr="004D5F7F" w:rsidRDefault="00F86AE3">
      <w:pPr>
        <w:pStyle w:val="Body"/>
        <w:jc w:val="both"/>
      </w:pPr>
      <w:r>
        <w:t>Strengthening r</w:t>
      </w:r>
      <w:r w:rsidR="001C3FB8" w:rsidRPr="004D5F7F">
        <w:t>esilience is not a</w:t>
      </w:r>
      <w:r w:rsidR="00F039A7">
        <w:t>bout developing</w:t>
      </w:r>
      <w:r w:rsidR="001C3FB8" w:rsidRPr="004D5F7F">
        <w:t xml:space="preserve"> new</w:t>
      </w:r>
      <w:r w:rsidR="00F039A7">
        <w:t>, stand-alone</w:t>
      </w:r>
      <w:r w:rsidR="001C3FB8" w:rsidRPr="004D5F7F">
        <w:t xml:space="preserve"> project</w:t>
      </w:r>
      <w:r w:rsidR="00F039A7">
        <w:t>s</w:t>
      </w:r>
      <w:r w:rsidR="008A34BC">
        <w:t>.</w:t>
      </w:r>
      <w:r w:rsidR="001C3FB8" w:rsidRPr="004D5F7F">
        <w:t xml:space="preserve"> </w:t>
      </w:r>
      <w:r w:rsidR="00FE1572">
        <w:t xml:space="preserve"> It</w:t>
      </w:r>
      <w:r w:rsidR="001C3FB8" w:rsidRPr="004D5F7F">
        <w:t xml:space="preserve"> is about developing better programs, strategies and policies that will bring humanitarian and development actors together</w:t>
      </w:r>
      <w:r w:rsidR="008A34BC">
        <w:t>, and bringing concepts of resilience into each step of program design and delivery resulting in</w:t>
      </w:r>
      <w:r w:rsidR="001C3FB8" w:rsidRPr="004D5F7F">
        <w:t xml:space="preserve"> a holistic approach.</w:t>
      </w:r>
    </w:p>
    <w:p w14:paraId="1D1C906E" w14:textId="77777777" w:rsidR="0027532F" w:rsidRPr="004D5F7F" w:rsidRDefault="001C3FB8">
      <w:pPr>
        <w:pStyle w:val="Heading3"/>
        <w:rPr>
          <w:rFonts w:ascii="Calibri" w:hAnsi="Calibri"/>
        </w:rPr>
      </w:pPr>
      <w:r w:rsidRPr="004D5F7F">
        <w:rPr>
          <w:rFonts w:ascii="Calibri" w:hAnsi="Calibri"/>
        </w:rPr>
        <w:t>At situation analysis level:</w:t>
      </w:r>
    </w:p>
    <w:p w14:paraId="6BDD9C5B" w14:textId="0D47A742" w:rsidR="0027532F" w:rsidRPr="004D5F7F" w:rsidRDefault="00F86AE3" w:rsidP="00EC0BB9">
      <w:pPr>
        <w:pStyle w:val="ListParagraph"/>
        <w:numPr>
          <w:ilvl w:val="0"/>
          <w:numId w:val="3"/>
        </w:numPr>
        <w:tabs>
          <w:tab w:val="num" w:pos="720"/>
        </w:tabs>
        <w:ind w:hanging="360"/>
        <w:jc w:val="both"/>
      </w:pPr>
      <w:r>
        <w:rPr>
          <w:b/>
          <w:bCs/>
        </w:rPr>
        <w:t>A</w:t>
      </w:r>
      <w:r w:rsidR="001C3FB8" w:rsidRPr="004D5F7F">
        <w:rPr>
          <w:b/>
          <w:bCs/>
        </w:rPr>
        <w:t>nalysis</w:t>
      </w:r>
      <w:r>
        <w:rPr>
          <w:b/>
          <w:bCs/>
        </w:rPr>
        <w:t xml:space="preserve"> of risks and causes of under-nutrition</w:t>
      </w:r>
      <w:r w:rsidR="001C3FB8" w:rsidRPr="004D5F7F">
        <w:t>. Strengthen risk and vulnerability analysis before developing or reviewing program strategies. Such analyses should look at</w:t>
      </w:r>
      <w:r w:rsidR="00DA7663">
        <w:t>:</w:t>
      </w:r>
      <w:r w:rsidR="001C3FB8" w:rsidRPr="004D5F7F">
        <w:t xml:space="preserve"> </w:t>
      </w:r>
      <w:r w:rsidR="00EC0BB9">
        <w:t>causes of under-</w:t>
      </w:r>
      <w:r>
        <w:t xml:space="preserve">nutrition; </w:t>
      </w:r>
      <w:r w:rsidR="001C3FB8" w:rsidRPr="004D5F7F">
        <w:t>level</w:t>
      </w:r>
      <w:r w:rsidR="00DA7663">
        <w:t>s</w:t>
      </w:r>
      <w:r w:rsidR="001C3FB8" w:rsidRPr="004D5F7F">
        <w:t xml:space="preserve"> of capacities and assets (types of livelihoods, nutrition and health status, infrastructure, social services); types of shocks and stressors;</w:t>
      </w:r>
      <w:r w:rsidR="008A34BC">
        <w:t xml:space="preserve"> potential</w:t>
      </w:r>
      <w:r w:rsidR="001C3FB8" w:rsidRPr="004D5F7F">
        <w:t xml:space="preserve"> impact and opportunities for response (mitigation, coping, adaptation strategies)</w:t>
      </w:r>
      <w:r w:rsidR="00FE1572">
        <w:t xml:space="preserve"> at household, community and system level</w:t>
      </w:r>
      <w:r w:rsidR="001C3FB8" w:rsidRPr="004D5F7F">
        <w:t xml:space="preserve">. </w:t>
      </w:r>
      <w:r>
        <w:t xml:space="preserve">Such analyses </w:t>
      </w:r>
      <w:r w:rsidR="008167E7">
        <w:t>c</w:t>
      </w:r>
      <w:r>
        <w:t>ould be disaggregated by livelihood groups</w:t>
      </w:r>
      <w:r w:rsidR="008167E7">
        <w:t xml:space="preserve"> or other social categories</w:t>
      </w:r>
      <w:r w:rsidR="00FE1572">
        <w:t xml:space="preserve"> and should take into account</w:t>
      </w:r>
      <w:r w:rsidR="008D0598">
        <w:t xml:space="preserve"> seasonality</w:t>
      </w:r>
      <w:r>
        <w:t xml:space="preserve"> to </w:t>
      </w:r>
      <w:r w:rsidR="00DA7663">
        <w:t xml:space="preserve">improve on </w:t>
      </w:r>
      <w:r>
        <w:t>context</w:t>
      </w:r>
      <w:r w:rsidR="00DA7663">
        <w:t>-</w:t>
      </w:r>
      <w:r>
        <w:t xml:space="preserve"> and population-specific interventions.</w:t>
      </w:r>
    </w:p>
    <w:p w14:paraId="2FC44B71" w14:textId="10E84035" w:rsidR="0027532F" w:rsidRDefault="00D905DD" w:rsidP="00EC0BB9">
      <w:pPr>
        <w:pStyle w:val="ListParagraph"/>
        <w:numPr>
          <w:ilvl w:val="0"/>
          <w:numId w:val="4"/>
        </w:numPr>
        <w:tabs>
          <w:tab w:val="num" w:pos="720"/>
        </w:tabs>
        <w:ind w:hanging="360"/>
        <w:jc w:val="both"/>
      </w:pPr>
      <w:r>
        <w:rPr>
          <w:b/>
          <w:bCs/>
        </w:rPr>
        <w:t xml:space="preserve">Information and </w:t>
      </w:r>
      <w:r w:rsidR="00EC0BB9">
        <w:rPr>
          <w:b/>
          <w:bCs/>
        </w:rPr>
        <w:t>e</w:t>
      </w:r>
      <w:r w:rsidR="001C3FB8" w:rsidRPr="004D5F7F">
        <w:rPr>
          <w:b/>
          <w:bCs/>
        </w:rPr>
        <w:t>arly warning systems</w:t>
      </w:r>
      <w:r w:rsidR="001C3FB8" w:rsidRPr="004D5F7F">
        <w:t xml:space="preserve">. </w:t>
      </w:r>
      <w:r w:rsidRPr="004D5F7F">
        <w:t xml:space="preserve">Integrate nutrition in food and agriculture information systems to </w:t>
      </w:r>
      <w:r w:rsidR="002C6B89">
        <w:t>better monitor threat</w:t>
      </w:r>
      <w:r w:rsidR="008509EB">
        <w:t>s</w:t>
      </w:r>
      <w:r w:rsidR="002C6B89">
        <w:t xml:space="preserve"> and </w:t>
      </w:r>
      <w:r w:rsidR="008509EB">
        <w:t>analyze situations</w:t>
      </w:r>
      <w:r w:rsidR="002C6B89">
        <w:t xml:space="preserve">. </w:t>
      </w:r>
      <w:r w:rsidR="001C3FB8" w:rsidRPr="004D5F7F">
        <w:t xml:space="preserve">Strengthen early warning systems by </w:t>
      </w:r>
      <w:r w:rsidR="003A2D8A">
        <w:t>incorporating</w:t>
      </w:r>
      <w:r w:rsidR="002C6B89" w:rsidRPr="004D5F7F">
        <w:t xml:space="preserve"> </w:t>
      </w:r>
      <w:r w:rsidR="001C3FB8" w:rsidRPr="004D5F7F">
        <w:t xml:space="preserve">indicators such as food consumption </w:t>
      </w:r>
      <w:commentRangeStart w:id="2"/>
      <w:commentRangeStart w:id="3"/>
      <w:r w:rsidR="001C3FB8" w:rsidRPr="004D5F7F">
        <w:t>patterns</w:t>
      </w:r>
      <w:commentRangeEnd w:id="2"/>
      <w:r w:rsidR="008A34BC">
        <w:rPr>
          <w:rStyle w:val="CommentReference"/>
          <w:rFonts w:ascii="Times New Roman" w:eastAsia="Arial Unicode MS" w:hAnsi="Times New Roman" w:cs="Times New Roman"/>
          <w:color w:val="auto"/>
        </w:rPr>
        <w:commentReference w:id="2"/>
      </w:r>
      <w:commentRangeEnd w:id="3"/>
      <w:r w:rsidR="008D0598">
        <w:rPr>
          <w:rStyle w:val="CommentReference"/>
          <w:rFonts w:ascii="Times New Roman" w:eastAsia="Arial Unicode MS" w:hAnsi="Times New Roman" w:cs="Times New Roman"/>
          <w:color w:val="auto"/>
        </w:rPr>
        <w:commentReference w:id="3"/>
      </w:r>
      <w:r w:rsidR="002C6B89">
        <w:t>. Such indicators will help</w:t>
      </w:r>
      <w:r w:rsidR="001C3FB8" w:rsidRPr="004D5F7F">
        <w:t xml:space="preserve"> </w:t>
      </w:r>
      <w:r w:rsidR="00F86AE3">
        <w:t xml:space="preserve">to detect potential </w:t>
      </w:r>
      <w:r w:rsidR="008A34BC">
        <w:t xml:space="preserve">for </w:t>
      </w:r>
      <w:r w:rsidR="00F86AE3">
        <w:t xml:space="preserve">deterioration in nutritional </w:t>
      </w:r>
      <w:r w:rsidR="00BC65EF">
        <w:t>status in</w:t>
      </w:r>
      <w:r w:rsidR="002C6B89">
        <w:t xml:space="preserve"> their </w:t>
      </w:r>
      <w:r w:rsidR="00F86AE3">
        <w:t>early stage</w:t>
      </w:r>
      <w:r w:rsidR="002C6B89">
        <w:t>s</w:t>
      </w:r>
      <w:r w:rsidR="00F86AE3">
        <w:t xml:space="preserve"> and </w:t>
      </w:r>
      <w:r w:rsidR="001C3FB8" w:rsidRPr="004D5F7F">
        <w:t xml:space="preserve">define triggers that will </w:t>
      </w:r>
      <w:r w:rsidR="00BC65EF" w:rsidRPr="004D5F7F">
        <w:t>help scale</w:t>
      </w:r>
      <w:r w:rsidR="001C3FB8" w:rsidRPr="004D5F7F">
        <w:t xml:space="preserve">-up support and intervention. </w:t>
      </w:r>
    </w:p>
    <w:p w14:paraId="188EF59C" w14:textId="77777777" w:rsidR="0027532F" w:rsidRPr="004D5F7F" w:rsidRDefault="001C3FB8">
      <w:pPr>
        <w:pStyle w:val="Heading3"/>
        <w:rPr>
          <w:rFonts w:ascii="Calibri" w:hAnsi="Calibri"/>
        </w:rPr>
      </w:pPr>
      <w:r w:rsidRPr="004D5F7F">
        <w:rPr>
          <w:rFonts w:ascii="Calibri" w:hAnsi="Calibri"/>
        </w:rPr>
        <w:t>At program design and implementation level:</w:t>
      </w:r>
    </w:p>
    <w:p w14:paraId="3F71270E" w14:textId="38F3F1B1" w:rsidR="0027532F" w:rsidRPr="004D5F7F" w:rsidRDefault="001C3FB8" w:rsidP="00EC0BB9">
      <w:pPr>
        <w:pStyle w:val="ListParagraph"/>
        <w:numPr>
          <w:ilvl w:val="0"/>
          <w:numId w:val="7"/>
        </w:numPr>
        <w:tabs>
          <w:tab w:val="num" w:pos="720"/>
        </w:tabs>
        <w:ind w:hanging="360"/>
        <w:jc w:val="both"/>
      </w:pPr>
      <w:r w:rsidRPr="004D5F7F">
        <w:rPr>
          <w:b/>
          <w:bCs/>
        </w:rPr>
        <w:t xml:space="preserve">Program that </w:t>
      </w:r>
      <w:r w:rsidR="008A34BC">
        <w:rPr>
          <w:b/>
          <w:bCs/>
        </w:rPr>
        <w:t xml:space="preserve">aim to </w:t>
      </w:r>
      <w:r w:rsidRPr="004D5F7F">
        <w:rPr>
          <w:b/>
          <w:bCs/>
        </w:rPr>
        <w:t>build both the nutrition and resilience of populations in crisis-prone areas</w:t>
      </w:r>
      <w:r w:rsidRPr="004D5F7F">
        <w:t>. Program design and strategies should be based on risk analysis</w:t>
      </w:r>
      <w:r w:rsidR="00EC0BB9">
        <w:t xml:space="preserve"> and </w:t>
      </w:r>
      <w:r w:rsidR="002C6B89">
        <w:t xml:space="preserve">help communities and countries </w:t>
      </w:r>
      <w:r w:rsidRPr="004D5F7F">
        <w:t>better withstand, anticipate, prevent, adapt and recover from stresses and shocks</w:t>
      </w:r>
      <w:r w:rsidR="002C6B89">
        <w:t xml:space="preserve">. </w:t>
      </w:r>
      <w:r w:rsidRPr="004D5F7F">
        <w:t xml:space="preserve">In addition, programs in high risk areas need to address issues of under-nutrition </w:t>
      </w:r>
      <w:r w:rsidR="00EC0BB9">
        <w:t xml:space="preserve">in a holistic manner, </w:t>
      </w:r>
      <w:r w:rsidRPr="004D5F7F">
        <w:t xml:space="preserve">through the scale-up of high impact nutrition interventions </w:t>
      </w:r>
      <w:r w:rsidRPr="00327C1C">
        <w:rPr>
          <w:i/>
        </w:rPr>
        <w:t xml:space="preserve">at all </w:t>
      </w:r>
      <w:commentRangeStart w:id="4"/>
      <w:commentRangeStart w:id="5"/>
      <w:r w:rsidRPr="00327C1C">
        <w:rPr>
          <w:i/>
        </w:rPr>
        <w:t>times</w:t>
      </w:r>
      <w:commentRangeEnd w:id="4"/>
      <w:r w:rsidR="0063437F">
        <w:rPr>
          <w:rStyle w:val="CommentReference"/>
          <w:rFonts w:ascii="Times New Roman" w:eastAsia="Arial Unicode MS" w:hAnsi="Times New Roman" w:cs="Times New Roman"/>
          <w:color w:val="auto"/>
        </w:rPr>
        <w:commentReference w:id="4"/>
      </w:r>
      <w:commentRangeEnd w:id="5"/>
      <w:r w:rsidR="008D0598">
        <w:rPr>
          <w:rStyle w:val="CommentReference"/>
          <w:rFonts w:ascii="Times New Roman" w:eastAsia="Arial Unicode MS" w:hAnsi="Times New Roman" w:cs="Times New Roman"/>
          <w:color w:val="auto"/>
        </w:rPr>
        <w:commentReference w:id="5"/>
      </w:r>
      <w:r w:rsidRPr="004D5F7F">
        <w:t xml:space="preserve">. </w:t>
      </w:r>
    </w:p>
    <w:p w14:paraId="72F42591" w14:textId="77777777" w:rsidR="0027532F" w:rsidRDefault="001C3FB8" w:rsidP="00EC0BB9">
      <w:pPr>
        <w:pStyle w:val="ListParagraph"/>
        <w:numPr>
          <w:ilvl w:val="0"/>
          <w:numId w:val="8"/>
        </w:numPr>
        <w:tabs>
          <w:tab w:val="num" w:pos="720"/>
        </w:tabs>
        <w:ind w:hanging="360"/>
        <w:jc w:val="both"/>
      </w:pPr>
      <w:r w:rsidRPr="004D5F7F">
        <w:rPr>
          <w:b/>
          <w:bCs/>
        </w:rPr>
        <w:t>Flexible programs</w:t>
      </w:r>
      <w:r w:rsidRPr="004D5F7F">
        <w:t>. Programs must be flexible to adjust to increasing</w:t>
      </w:r>
      <w:r w:rsidR="0063437F">
        <w:t xml:space="preserve"> scale and type of</w:t>
      </w:r>
      <w:r w:rsidRPr="004D5F7F">
        <w:t xml:space="preserve"> needs during crises. </w:t>
      </w:r>
      <w:r w:rsidR="00020372">
        <w:t>P</w:t>
      </w:r>
      <w:r w:rsidRPr="004D5F7F">
        <w:t xml:space="preserve">rogram </w:t>
      </w:r>
      <w:r w:rsidR="00BC65EF" w:rsidRPr="004D5F7F">
        <w:t>objectives should</w:t>
      </w:r>
      <w:r w:rsidR="00020705">
        <w:t xml:space="preserve"> </w:t>
      </w:r>
      <w:r w:rsidRPr="004D5F7F">
        <w:t xml:space="preserve">incorporate building </w:t>
      </w:r>
      <w:r w:rsidR="00020705">
        <w:t xml:space="preserve">long-term beneficial </w:t>
      </w:r>
      <w:r w:rsidRPr="004D5F7F">
        <w:t>assets in normal times</w:t>
      </w:r>
      <w:r w:rsidR="00020705">
        <w:t>,</w:t>
      </w:r>
      <w:r w:rsidRPr="004D5F7F">
        <w:t xml:space="preserve"> but </w:t>
      </w:r>
      <w:r w:rsidR="00020705">
        <w:t xml:space="preserve">should also </w:t>
      </w:r>
      <w:r w:rsidRPr="004D5F7F">
        <w:t>incorporat</w:t>
      </w:r>
      <w:r w:rsidR="00020705">
        <w:t>e</w:t>
      </w:r>
      <w:r w:rsidRPr="004D5F7F">
        <w:t xml:space="preserve"> financial and operational flexibility to allow </w:t>
      </w:r>
      <w:r w:rsidR="00020372">
        <w:t>programs</w:t>
      </w:r>
      <w:r w:rsidR="00020372" w:rsidRPr="004D5F7F">
        <w:t xml:space="preserve"> </w:t>
      </w:r>
      <w:r w:rsidRPr="004D5F7F">
        <w:t>to switch quickly to relief operations when shocks hit.</w:t>
      </w:r>
    </w:p>
    <w:p w14:paraId="1B521195" w14:textId="77777777" w:rsidR="00F86AE3" w:rsidRDefault="00F86AE3" w:rsidP="00EC0BB9">
      <w:pPr>
        <w:pStyle w:val="ListParagraph"/>
        <w:numPr>
          <w:ilvl w:val="0"/>
          <w:numId w:val="8"/>
        </w:numPr>
        <w:tabs>
          <w:tab w:val="num" w:pos="720"/>
        </w:tabs>
        <w:ind w:hanging="360"/>
        <w:jc w:val="both"/>
      </w:pPr>
      <w:r>
        <w:rPr>
          <w:b/>
          <w:bCs/>
        </w:rPr>
        <w:t>Strengthening national institutions and service delivery systems and empowering communities</w:t>
      </w:r>
      <w:r w:rsidR="00983F77" w:rsidRPr="00243AA7">
        <w:t>:</w:t>
      </w:r>
      <w:r>
        <w:t xml:space="preserve"> </w:t>
      </w:r>
      <w:r w:rsidR="00020705">
        <w:t xml:space="preserve">Interventions </w:t>
      </w:r>
      <w:r>
        <w:t xml:space="preserve">should be designed and implemented with and through national institutions with strong participation from local populations and CSOs, to support their </w:t>
      </w:r>
      <w:r w:rsidR="00020705">
        <w:t xml:space="preserve">integration </w:t>
      </w:r>
      <w:r>
        <w:t xml:space="preserve">and sustainability. This </w:t>
      </w:r>
      <w:r w:rsidR="00020705">
        <w:t xml:space="preserve">could </w:t>
      </w:r>
      <w:r>
        <w:t xml:space="preserve">entail, for example, integrating the management of acute </w:t>
      </w:r>
      <w:r w:rsidR="008167E7">
        <w:t>malnutrition</w:t>
      </w:r>
      <w:r>
        <w:t xml:space="preserve"> in public health services and of nutrition-sensitive </w:t>
      </w:r>
      <w:r w:rsidR="001A54D3">
        <w:t xml:space="preserve">agricultural </w:t>
      </w:r>
      <w:r>
        <w:t xml:space="preserve">interventions in extension systems. </w:t>
      </w:r>
    </w:p>
    <w:p w14:paraId="367935CE" w14:textId="77777777" w:rsidR="00F86AE3" w:rsidRPr="004D5F7F" w:rsidRDefault="006F73A4" w:rsidP="00EC0BB9">
      <w:pPr>
        <w:pStyle w:val="ListParagraph"/>
        <w:numPr>
          <w:ilvl w:val="0"/>
          <w:numId w:val="8"/>
        </w:numPr>
        <w:tabs>
          <w:tab w:val="num" w:pos="720"/>
        </w:tabs>
        <w:ind w:hanging="360"/>
        <w:jc w:val="both"/>
      </w:pPr>
      <w:r>
        <w:rPr>
          <w:b/>
          <w:bCs/>
        </w:rPr>
        <w:t>Monitoring nutritional impact</w:t>
      </w:r>
      <w:r w:rsidR="00983F77" w:rsidRPr="00243AA7">
        <w:t>:</w:t>
      </w:r>
      <w:r>
        <w:t xml:space="preserve"> </w:t>
      </w:r>
      <w:r w:rsidR="00931AEF">
        <w:t>Nutritional</w:t>
      </w:r>
      <w:r>
        <w:t xml:space="preserve"> impact of programs </w:t>
      </w:r>
      <w:r w:rsidR="00931AEF">
        <w:t xml:space="preserve">that aim </w:t>
      </w:r>
      <w:r>
        <w:t>to strengthen resilience should be monitored and evaluated, using indicators of food consumption, nutritional outcomes, and key r</w:t>
      </w:r>
      <w:r w:rsidR="00DC648F">
        <w:t xml:space="preserve">isk factors for under-nutrition </w:t>
      </w:r>
      <w:r w:rsidR="0063437F">
        <w:t xml:space="preserve">in children </w:t>
      </w:r>
      <w:r w:rsidR="00DC648F">
        <w:t>(e.g. feeding and caring practices).</w:t>
      </w:r>
      <w:r>
        <w:t xml:space="preserve"> </w:t>
      </w:r>
      <w:r w:rsidR="00F86AE3">
        <w:t xml:space="preserve"> </w:t>
      </w:r>
    </w:p>
    <w:p w14:paraId="6311EDE9" w14:textId="77777777" w:rsidR="00D905DD" w:rsidRPr="00D905DD" w:rsidRDefault="001C3FB8" w:rsidP="00D905DD">
      <w:pPr>
        <w:pStyle w:val="Heading3"/>
        <w:rPr>
          <w:rFonts w:ascii="Calibri" w:hAnsi="Calibri"/>
        </w:rPr>
      </w:pPr>
      <w:r w:rsidRPr="004D5F7F">
        <w:rPr>
          <w:rFonts w:ascii="Calibri" w:hAnsi="Calibri"/>
        </w:rPr>
        <w:t>At policy level:</w:t>
      </w:r>
    </w:p>
    <w:p w14:paraId="41E0E7D3" w14:textId="416B83ED" w:rsidR="00F039A7" w:rsidRDefault="00931AEF" w:rsidP="008E6353">
      <w:pPr>
        <w:pStyle w:val="ListParagraph"/>
        <w:numPr>
          <w:ilvl w:val="0"/>
          <w:numId w:val="11"/>
        </w:numPr>
        <w:tabs>
          <w:tab w:val="num" w:pos="720"/>
        </w:tabs>
        <w:spacing w:after="0"/>
        <w:ind w:hanging="360"/>
        <w:jc w:val="both"/>
      </w:pPr>
      <w:r w:rsidRPr="00B764B8">
        <w:rPr>
          <w:b/>
        </w:rPr>
        <w:t>Legislative</w:t>
      </w:r>
      <w:r w:rsidR="001C3FB8" w:rsidRPr="00B764B8">
        <w:rPr>
          <w:b/>
        </w:rPr>
        <w:t xml:space="preserve"> and policy environment</w:t>
      </w:r>
      <w:r w:rsidRPr="00B764B8">
        <w:rPr>
          <w:b/>
        </w:rPr>
        <w:t>s</w:t>
      </w:r>
      <w:r>
        <w:t xml:space="preserve"> should be strengthened</w:t>
      </w:r>
      <w:r w:rsidR="001C3FB8" w:rsidRPr="004D5F7F">
        <w:t xml:space="preserve"> to ensure that nutritional considerations are fully taken into account in developing</w:t>
      </w:r>
      <w:r w:rsidR="00F039A7">
        <w:t xml:space="preserve"> </w:t>
      </w:r>
      <w:r>
        <w:t xml:space="preserve">resilience-focused </w:t>
      </w:r>
      <w:r w:rsidR="00F039A7" w:rsidRPr="004D5F7F">
        <w:t xml:space="preserve"> programs and coordination framework</w:t>
      </w:r>
      <w:r>
        <w:t>s;</w:t>
      </w:r>
      <w:r w:rsidR="00254B43" w:rsidRPr="00254B43">
        <w:t xml:space="preserve"> </w:t>
      </w:r>
      <w:r w:rsidR="00254B43" w:rsidRPr="004D5F7F">
        <w:t>Make prevention, preparedness and response activities more nutrition-sensitive to reduce impact of shocks and threats on individuals’ and households' nutrition situations</w:t>
      </w:r>
      <w:r w:rsidR="00860C6A">
        <w:t>; E</w:t>
      </w:r>
      <w:r w:rsidR="00F039A7">
        <w:t xml:space="preserve">nsure </w:t>
      </w:r>
      <w:r w:rsidR="00860C6A">
        <w:t xml:space="preserve">that </w:t>
      </w:r>
      <w:r w:rsidR="00F039A7">
        <w:t>policies on resilience</w:t>
      </w:r>
      <w:r w:rsidR="00860C6A">
        <w:t xml:space="preserve"> are </w:t>
      </w:r>
      <w:r w:rsidR="00F039A7">
        <w:t xml:space="preserve">using a multi-sectoral approach (building on or borrowing from the </w:t>
      </w:r>
      <w:r w:rsidR="00860C6A">
        <w:t>Scaling Up Nutrition Movement); Ensure that sector specific policies are resilience-focused.</w:t>
      </w:r>
    </w:p>
    <w:p w14:paraId="6C2A5DDF" w14:textId="77777777" w:rsidR="008E6353" w:rsidRDefault="008E6353" w:rsidP="008E6353">
      <w:pPr>
        <w:pStyle w:val="ListParagraph"/>
        <w:spacing w:after="0"/>
        <w:jc w:val="both"/>
      </w:pPr>
    </w:p>
    <w:p w14:paraId="30601425" w14:textId="77777777" w:rsidR="00F039A7" w:rsidRDefault="00F039A7" w:rsidP="008E6353">
      <w:pPr>
        <w:pStyle w:val="ListParagraph"/>
        <w:numPr>
          <w:ilvl w:val="0"/>
          <w:numId w:val="11"/>
        </w:numPr>
        <w:tabs>
          <w:tab w:val="num" w:pos="720"/>
        </w:tabs>
        <w:spacing w:after="0"/>
        <w:ind w:hanging="360"/>
        <w:jc w:val="both"/>
      </w:pPr>
      <w:r w:rsidRPr="00B764B8">
        <w:rPr>
          <w:b/>
        </w:rPr>
        <w:lastRenderedPageBreak/>
        <w:t>Develop or strengthen</w:t>
      </w:r>
      <w:r w:rsidRPr="004D5F7F">
        <w:t xml:space="preserve"> </w:t>
      </w:r>
      <w:r w:rsidRPr="00B764B8">
        <w:rPr>
          <w:b/>
        </w:rPr>
        <w:t>national strategies for food and nutrition security</w:t>
      </w:r>
      <w:r w:rsidRPr="004D5F7F">
        <w:t xml:space="preserve"> that are risk-informed</w:t>
      </w:r>
      <w:r w:rsidR="00DE3A21">
        <w:t xml:space="preserve"> and address immediate nutritional needs and </w:t>
      </w:r>
      <w:r w:rsidR="00020372">
        <w:t>empower institutions and individuals to prevent malnutrition</w:t>
      </w:r>
      <w:r w:rsidR="008E6353">
        <w:t>.</w:t>
      </w:r>
    </w:p>
    <w:p w14:paraId="70F1AB13" w14:textId="77777777" w:rsidR="0027532F" w:rsidRPr="004D5F7F" w:rsidRDefault="0027532F" w:rsidP="00B764B8">
      <w:pPr>
        <w:jc w:val="both"/>
      </w:pPr>
    </w:p>
    <w:sectPr w:rsidR="0027532F" w:rsidRPr="004D5F7F" w:rsidSect="00243AA7">
      <w:headerReference w:type="default" r:id="rId12"/>
      <w:pgSz w:w="11900" w:h="16840"/>
      <w:pgMar w:top="720" w:right="1080" w:bottom="540" w:left="9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olores Rio" w:date="2014-08-07T09:52:00Z" w:initials="DR">
    <w:p w14:paraId="426E1D00" w14:textId="6F9DB03F" w:rsidR="008D0598" w:rsidRDefault="008D0598">
      <w:pPr>
        <w:pStyle w:val="CommentText"/>
      </w:pPr>
      <w:r>
        <w:rPr>
          <w:rStyle w:val="CommentReference"/>
        </w:rPr>
        <w:annotationRef/>
      </w:r>
      <w:r>
        <w:t>This is UNICEF working definition that Werner wanted me to put</w:t>
      </w:r>
      <w:proofErr w:type="gramStart"/>
      <w:r>
        <w:t>..</w:t>
      </w:r>
      <w:proofErr w:type="gramEnd"/>
      <w:r>
        <w:t xml:space="preserve"> </w:t>
      </w:r>
    </w:p>
  </w:comment>
  <w:comment w:id="2" w:author="Diane Holland" w:date="2014-08-07T08:43:00Z" w:initials="DH">
    <w:p w14:paraId="3BB61F51" w14:textId="77777777" w:rsidR="008A34BC" w:rsidRDefault="008A34BC">
      <w:pPr>
        <w:pStyle w:val="CommentText"/>
      </w:pPr>
      <w:r>
        <w:rPr>
          <w:rStyle w:val="CommentReference"/>
        </w:rPr>
        <w:annotationRef/>
      </w:r>
      <w:r>
        <w:t>Do we want to link that this is also simultaneously monitoring immediate (intake) and underlying (food sec) causes?</w:t>
      </w:r>
    </w:p>
  </w:comment>
  <w:comment w:id="3" w:author="Dolores Rio" w:date="2014-08-07T09:52:00Z" w:initials="DR">
    <w:p w14:paraId="1DE64D2F" w14:textId="2FB15DF4" w:rsidR="008D0598" w:rsidRDefault="008D0598">
      <w:pPr>
        <w:pStyle w:val="CommentText"/>
      </w:pPr>
      <w:r>
        <w:rPr>
          <w:rStyle w:val="CommentReference"/>
        </w:rPr>
        <w:annotationRef/>
      </w:r>
      <w:r>
        <w:t>This is FAO addition so we can leave is as comment when I re-send this version</w:t>
      </w:r>
    </w:p>
  </w:comment>
  <w:comment w:id="4" w:author="Diane Holland" w:date="2014-08-07T08:45:00Z" w:initials="DH">
    <w:p w14:paraId="1E05201F" w14:textId="77777777" w:rsidR="0063437F" w:rsidRDefault="0063437F">
      <w:pPr>
        <w:pStyle w:val="CommentText"/>
      </w:pPr>
      <w:r>
        <w:rPr>
          <w:rStyle w:val="CommentReference"/>
        </w:rPr>
        <w:annotationRef/>
      </w:r>
      <w:r>
        <w:t>Meaning throughout seasons and in humanitarian and development?</w:t>
      </w:r>
    </w:p>
    <w:p w14:paraId="7019F541" w14:textId="77777777" w:rsidR="008D0598" w:rsidRDefault="008D0598">
      <w:pPr>
        <w:pStyle w:val="CommentText"/>
      </w:pPr>
    </w:p>
  </w:comment>
  <w:comment w:id="5" w:author="Dolores Rio" w:date="2014-08-07T09:52:00Z" w:initials="DR">
    <w:p w14:paraId="2EE2B394" w14:textId="7780A928" w:rsidR="008D0598" w:rsidRDefault="008D0598">
      <w:pPr>
        <w:pStyle w:val="CommentText"/>
      </w:pPr>
      <w:r>
        <w:rPr>
          <w:rStyle w:val="CommentReference"/>
        </w:rPr>
        <w:annotationRef/>
      </w:r>
      <w:r>
        <w:t>Yes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6E1D00" w15:done="0"/>
  <w15:commentEx w15:paraId="3BB61F51" w15:done="0"/>
  <w15:commentEx w15:paraId="1DE64D2F" w15:paraIdParent="3BB61F51" w15:done="0"/>
  <w15:commentEx w15:paraId="7019F541" w15:done="0"/>
  <w15:commentEx w15:paraId="2EE2B394" w15:paraIdParent="7019F5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D4AB7" w14:textId="77777777" w:rsidR="00A527EB" w:rsidRDefault="00A527EB">
      <w:r>
        <w:separator/>
      </w:r>
    </w:p>
  </w:endnote>
  <w:endnote w:type="continuationSeparator" w:id="0">
    <w:p w14:paraId="12F96BAC" w14:textId="77777777" w:rsidR="00A527EB" w:rsidRDefault="00A5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 Univers 45 Light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58CEB" w14:textId="77777777" w:rsidR="00A527EB" w:rsidRDefault="00A527EB">
      <w:r>
        <w:separator/>
      </w:r>
    </w:p>
  </w:footnote>
  <w:footnote w:type="continuationSeparator" w:id="0">
    <w:p w14:paraId="545A001B" w14:textId="77777777" w:rsidR="00A527EB" w:rsidRDefault="00A527EB">
      <w:r>
        <w:continuationSeparator/>
      </w:r>
    </w:p>
  </w:footnote>
  <w:footnote w:type="continuationNotice" w:id="1">
    <w:p w14:paraId="20DF4CBC" w14:textId="77777777" w:rsidR="00A527EB" w:rsidRDefault="00A527EB"/>
  </w:footnote>
  <w:footnote w:id="2">
    <w:p w14:paraId="2366706B" w14:textId="48FEB691" w:rsidR="008D0598" w:rsidRDefault="008D0598">
      <w:pPr>
        <w:pStyle w:val="FootnoteText"/>
      </w:pPr>
      <w:r>
        <w:rPr>
          <w:rStyle w:val="FootnoteReference"/>
        </w:rPr>
        <w:footnoteRef/>
      </w:r>
      <w:r>
        <w:t xml:space="preserve"> UNICEF working definition, 2013</w:t>
      </w:r>
    </w:p>
  </w:footnote>
  <w:footnote w:id="3">
    <w:p w14:paraId="36CE7BBF" w14:textId="77777777" w:rsidR="00DE3A21" w:rsidRDefault="00DE3A21">
      <w:pPr>
        <w:pStyle w:val="FootnoteText"/>
      </w:pPr>
      <w:r>
        <w:rPr>
          <w:b/>
          <w:bCs/>
          <w:vertAlign w:val="superscript"/>
        </w:rPr>
        <w:footnoteRef/>
      </w:r>
      <w:r>
        <w:t xml:space="preserve"> UN-OCHA: The World Humanitarian Data and Trends (2013)</w:t>
      </w:r>
    </w:p>
  </w:footnote>
  <w:footnote w:id="4">
    <w:p w14:paraId="2A6E18A4" w14:textId="77777777" w:rsidR="00895AAD" w:rsidRDefault="00895AAD">
      <w:pPr>
        <w:pStyle w:val="FootnoteText"/>
      </w:pPr>
      <w:r>
        <w:rPr>
          <w:rStyle w:val="FootnoteReference"/>
        </w:rPr>
        <w:footnoteRef/>
      </w:r>
      <w:r>
        <w:t xml:space="preserve"> UNICEF: The Global Nutrition Data Base (2012)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0F810" w14:textId="77777777" w:rsidR="00DE3A21" w:rsidRDefault="00DE3A21">
    <w:pPr>
      <w:pStyle w:val="Header"/>
      <w:jc w:val="both"/>
    </w:pPr>
    <w:r>
      <w:rPr>
        <w:rFonts w:ascii="Trebuchet M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529"/>
    <w:multiLevelType w:val="multilevel"/>
    <w:tmpl w:val="368ACA4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12E87EDD"/>
    <w:multiLevelType w:val="multilevel"/>
    <w:tmpl w:val="792879E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158B1965"/>
    <w:multiLevelType w:val="multilevel"/>
    <w:tmpl w:val="E020EAFC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3">
    <w:nsid w:val="2A3434B3"/>
    <w:multiLevelType w:val="multilevel"/>
    <w:tmpl w:val="C772072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2C045C8E"/>
    <w:multiLevelType w:val="multilevel"/>
    <w:tmpl w:val="FC22482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47F82BC6"/>
    <w:multiLevelType w:val="multilevel"/>
    <w:tmpl w:val="169CDF14"/>
    <w:lvl w:ilvl="0"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6">
    <w:nsid w:val="514D484C"/>
    <w:multiLevelType w:val="multilevel"/>
    <w:tmpl w:val="B888C3AC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7">
    <w:nsid w:val="576F78D1"/>
    <w:multiLevelType w:val="multilevel"/>
    <w:tmpl w:val="55FCF848"/>
    <w:lvl w:ilvl="0"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8">
    <w:nsid w:val="5CA914C4"/>
    <w:multiLevelType w:val="multilevel"/>
    <w:tmpl w:val="CFC2D24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5DFD7485"/>
    <w:multiLevelType w:val="multilevel"/>
    <w:tmpl w:val="DA5CA9BC"/>
    <w:styleLink w:val="List0"/>
    <w:lvl w:ilvl="0"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10">
    <w:nsid w:val="64EB5F4C"/>
    <w:multiLevelType w:val="multilevel"/>
    <w:tmpl w:val="52445E74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6A5F0426"/>
    <w:multiLevelType w:val="multilevel"/>
    <w:tmpl w:val="A5729D0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6EB605C7"/>
    <w:multiLevelType w:val="multilevel"/>
    <w:tmpl w:val="8E745F2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7E36246F"/>
    <w:multiLevelType w:val="multilevel"/>
    <w:tmpl w:val="E2486784"/>
    <w:lvl w:ilvl="0"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lores Rio">
    <w15:presenceInfo w15:providerId="AD" w15:userId="S-1-5-21-889838981-920820592-1903951286-5696"/>
  </w15:person>
  <w15:person w15:author="Diane Holland">
    <w15:presenceInfo w15:providerId="AD" w15:userId="S-1-5-21-889838981-920820592-1903951286-6888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2F"/>
    <w:rsid w:val="00020372"/>
    <w:rsid w:val="00020705"/>
    <w:rsid w:val="00026FC7"/>
    <w:rsid w:val="00116020"/>
    <w:rsid w:val="00142DA7"/>
    <w:rsid w:val="00182513"/>
    <w:rsid w:val="001A54D3"/>
    <w:rsid w:val="001C3FB8"/>
    <w:rsid w:val="001E3BDF"/>
    <w:rsid w:val="002363E1"/>
    <w:rsid w:val="00243AA7"/>
    <w:rsid w:val="00254B43"/>
    <w:rsid w:val="0027532F"/>
    <w:rsid w:val="002C6B89"/>
    <w:rsid w:val="00303FEC"/>
    <w:rsid w:val="00327C1C"/>
    <w:rsid w:val="003A2D8A"/>
    <w:rsid w:val="003C44E9"/>
    <w:rsid w:val="0041140A"/>
    <w:rsid w:val="00423FBA"/>
    <w:rsid w:val="004D5F7F"/>
    <w:rsid w:val="005917C8"/>
    <w:rsid w:val="00621359"/>
    <w:rsid w:val="0063437F"/>
    <w:rsid w:val="006526DF"/>
    <w:rsid w:val="006F73A4"/>
    <w:rsid w:val="008167E7"/>
    <w:rsid w:val="008509EB"/>
    <w:rsid w:val="00860C6A"/>
    <w:rsid w:val="00892D35"/>
    <w:rsid w:val="00895AAD"/>
    <w:rsid w:val="008A34BC"/>
    <w:rsid w:val="008B1D0B"/>
    <w:rsid w:val="008C061B"/>
    <w:rsid w:val="008D0598"/>
    <w:rsid w:val="008E6353"/>
    <w:rsid w:val="00910836"/>
    <w:rsid w:val="00931AEF"/>
    <w:rsid w:val="009756D9"/>
    <w:rsid w:val="00983F77"/>
    <w:rsid w:val="009A10E6"/>
    <w:rsid w:val="00A527EB"/>
    <w:rsid w:val="00A97BC9"/>
    <w:rsid w:val="00B764B8"/>
    <w:rsid w:val="00BC65EF"/>
    <w:rsid w:val="00C81ED3"/>
    <w:rsid w:val="00D905DD"/>
    <w:rsid w:val="00DA7663"/>
    <w:rsid w:val="00DC648F"/>
    <w:rsid w:val="00DE3A21"/>
    <w:rsid w:val="00EC0BB9"/>
    <w:rsid w:val="00F039A7"/>
    <w:rsid w:val="00F86AE3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53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paragraph" w:styleId="Heading3">
    <w:name w:val="heading 3"/>
    <w:next w:val="Body"/>
    <w:pPr>
      <w:keepNext/>
      <w:keepLines/>
      <w:spacing w:before="40" w:line="276" w:lineRule="auto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4"/>
      </w:numPr>
    </w:pPr>
  </w:style>
  <w:style w:type="numbering" w:customStyle="1" w:styleId="ImportedStyle2">
    <w:name w:val="Imported Style 2"/>
  </w:style>
  <w:style w:type="paragraph" w:styleId="BalloonText">
    <w:name w:val="Balloon Text"/>
    <w:basedOn w:val="Normal"/>
    <w:link w:val="BalloonTextChar"/>
    <w:uiPriority w:val="99"/>
    <w:semiHidden/>
    <w:unhideWhenUsed/>
    <w:rsid w:val="00F86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E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6A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A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AE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A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AE3"/>
    <w:rPr>
      <w:b/>
      <w:bCs/>
      <w:sz w:val="24"/>
      <w:szCs w:val="24"/>
    </w:rPr>
  </w:style>
  <w:style w:type="paragraph" w:customStyle="1" w:styleId="Default">
    <w:name w:val="Default"/>
    <w:rsid w:val="008B1D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MS Mincho"/>
      <w:color w:val="000000"/>
      <w:sz w:val="24"/>
      <w:szCs w:val="24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895A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paragraph" w:styleId="Heading3">
    <w:name w:val="heading 3"/>
    <w:next w:val="Body"/>
    <w:pPr>
      <w:keepNext/>
      <w:keepLines/>
      <w:spacing w:before="40" w:line="276" w:lineRule="auto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4"/>
      </w:numPr>
    </w:pPr>
  </w:style>
  <w:style w:type="numbering" w:customStyle="1" w:styleId="ImportedStyle2">
    <w:name w:val="Imported Style 2"/>
  </w:style>
  <w:style w:type="paragraph" w:styleId="BalloonText">
    <w:name w:val="Balloon Text"/>
    <w:basedOn w:val="Normal"/>
    <w:link w:val="BalloonTextChar"/>
    <w:uiPriority w:val="99"/>
    <w:semiHidden/>
    <w:unhideWhenUsed/>
    <w:rsid w:val="00F86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E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6A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A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AE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A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AE3"/>
    <w:rPr>
      <w:b/>
      <w:bCs/>
      <w:sz w:val="24"/>
      <w:szCs w:val="24"/>
    </w:rPr>
  </w:style>
  <w:style w:type="paragraph" w:customStyle="1" w:styleId="Default">
    <w:name w:val="Default"/>
    <w:rsid w:val="008B1D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MS Mincho"/>
      <w:color w:val="000000"/>
      <w:sz w:val="24"/>
      <w:szCs w:val="24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895A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78990-D2C6-449A-9805-1344A1D2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5993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Rio</dc:creator>
  <cp:lastModifiedBy>Poselle Bonaventura, Chiara</cp:lastModifiedBy>
  <cp:revision>2</cp:revision>
  <cp:lastPrinted>2014-07-11T23:23:00Z</cp:lastPrinted>
  <dcterms:created xsi:type="dcterms:W3CDTF">2014-08-21T08:46:00Z</dcterms:created>
  <dcterms:modified xsi:type="dcterms:W3CDTF">2014-08-21T08:46:00Z</dcterms:modified>
</cp:coreProperties>
</file>