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8E6" w:rsidRPr="000D3F71" w:rsidRDefault="000D3F71" w:rsidP="000D3F71">
      <w:pPr>
        <w:spacing w:after="120" w:line="240" w:lineRule="auto"/>
        <w:jc w:val="center"/>
        <w:rPr>
          <w:rFonts w:ascii="Times New Roman" w:hAnsi="Times New Roman"/>
          <w:b/>
          <w:sz w:val="24"/>
          <w:szCs w:val="24"/>
        </w:rPr>
      </w:pPr>
      <w:r w:rsidRPr="000D3F71">
        <w:rPr>
          <w:rFonts w:ascii="Times New Roman" w:hAnsi="Times New Roman"/>
          <w:b/>
          <w:sz w:val="24"/>
          <w:szCs w:val="24"/>
        </w:rPr>
        <w:t>Consultation du HLPE sur le projet V0 du Rapport : investir dans la petite agriculture pour parvenir à la sécurité alimentaire et nutritionnelle</w:t>
      </w:r>
    </w:p>
    <w:p w:rsidR="000D3F71" w:rsidRPr="003D0E55" w:rsidRDefault="000D3F71" w:rsidP="003D0E55">
      <w:pPr>
        <w:spacing w:before="120" w:after="120" w:line="360" w:lineRule="auto"/>
        <w:jc w:val="center"/>
        <w:rPr>
          <w:rFonts w:ascii="Times New Roman" w:hAnsi="Times New Roman"/>
          <w:b/>
          <w:color w:val="C00000"/>
          <w:sz w:val="28"/>
          <w:szCs w:val="28"/>
        </w:rPr>
      </w:pPr>
      <w:r w:rsidRPr="003D0E55">
        <w:rPr>
          <w:rFonts w:ascii="Times New Roman" w:hAnsi="Times New Roman"/>
          <w:b/>
          <w:color w:val="C00000"/>
          <w:sz w:val="28"/>
          <w:szCs w:val="28"/>
        </w:rPr>
        <w:t>Compte-rendu de lecture du Rapport V0</w:t>
      </w:r>
    </w:p>
    <w:p w:rsidR="000D3F71" w:rsidRPr="000D3F71" w:rsidRDefault="000D3F71" w:rsidP="003D0E55">
      <w:pPr>
        <w:spacing w:after="120" w:line="240" w:lineRule="auto"/>
        <w:jc w:val="center"/>
        <w:rPr>
          <w:rFonts w:ascii="Times New Roman" w:hAnsi="Times New Roman"/>
          <w:sz w:val="24"/>
          <w:szCs w:val="24"/>
        </w:rPr>
      </w:pPr>
      <w:r w:rsidRPr="000D3F71">
        <w:rPr>
          <w:rFonts w:ascii="Times New Roman" w:hAnsi="Times New Roman"/>
          <w:sz w:val="24"/>
          <w:szCs w:val="24"/>
        </w:rPr>
        <w:t>Par</w:t>
      </w:r>
    </w:p>
    <w:p w:rsidR="000D3F71" w:rsidRPr="004258F3" w:rsidRDefault="000D3F71" w:rsidP="000D3F71">
      <w:pPr>
        <w:spacing w:after="0" w:line="240" w:lineRule="auto"/>
        <w:jc w:val="center"/>
        <w:rPr>
          <w:rFonts w:ascii="Times New Roman" w:hAnsi="Times New Roman"/>
          <w:b/>
          <w:i/>
        </w:rPr>
      </w:pPr>
      <w:r w:rsidRPr="004258F3">
        <w:rPr>
          <w:rFonts w:ascii="Times New Roman" w:hAnsi="Times New Roman"/>
          <w:b/>
          <w:i/>
        </w:rPr>
        <w:t>FOFIRI NZOSSIE Eric Joël, Ph.D.</w:t>
      </w:r>
    </w:p>
    <w:p w:rsidR="000D3F71" w:rsidRPr="004258F3" w:rsidRDefault="000D3F71" w:rsidP="000D3F71">
      <w:pPr>
        <w:spacing w:after="0" w:line="240" w:lineRule="auto"/>
        <w:jc w:val="center"/>
        <w:rPr>
          <w:rFonts w:ascii="Times New Roman" w:hAnsi="Times New Roman"/>
          <w:i/>
        </w:rPr>
      </w:pPr>
      <w:r w:rsidRPr="004258F3">
        <w:rPr>
          <w:rFonts w:ascii="Times New Roman" w:hAnsi="Times New Roman"/>
          <w:i/>
        </w:rPr>
        <w:t>Université de Ngaoundété, FALSH-Département de géographie</w:t>
      </w:r>
    </w:p>
    <w:p w:rsidR="000D3F71" w:rsidRPr="004258F3" w:rsidRDefault="000D3F71" w:rsidP="000D3F71">
      <w:pPr>
        <w:spacing w:after="0" w:line="240" w:lineRule="auto"/>
        <w:jc w:val="center"/>
        <w:rPr>
          <w:rFonts w:ascii="Times New Roman" w:hAnsi="Times New Roman"/>
          <w:i/>
        </w:rPr>
      </w:pPr>
      <w:r w:rsidRPr="004258F3">
        <w:rPr>
          <w:rFonts w:ascii="Times New Roman" w:hAnsi="Times New Roman"/>
          <w:i/>
        </w:rPr>
        <w:t>BP. 454 Ngaoundéré (Cameroun)</w:t>
      </w:r>
    </w:p>
    <w:p w:rsidR="000D3F71" w:rsidRPr="004258F3" w:rsidRDefault="000D3F71" w:rsidP="000D3F71">
      <w:pPr>
        <w:spacing w:after="0" w:line="240" w:lineRule="auto"/>
        <w:jc w:val="center"/>
        <w:rPr>
          <w:rFonts w:ascii="Times New Roman" w:hAnsi="Times New Roman"/>
          <w:i/>
        </w:rPr>
      </w:pPr>
      <w:r w:rsidRPr="004258F3">
        <w:rPr>
          <w:rFonts w:ascii="Times New Roman" w:hAnsi="Times New Roman"/>
          <w:i/>
        </w:rPr>
        <w:t xml:space="preserve">Courriel : </w:t>
      </w:r>
      <w:hyperlink r:id="rId7" w:history="1">
        <w:r w:rsidRPr="004258F3">
          <w:rPr>
            <w:rStyle w:val="Hyperlink"/>
            <w:rFonts w:ascii="Times New Roman" w:hAnsi="Times New Roman"/>
            <w:i/>
          </w:rPr>
          <w:t>fofiri_eric@yahoo.fr</w:t>
        </w:r>
      </w:hyperlink>
    </w:p>
    <w:p w:rsidR="000D3F71" w:rsidRPr="004258F3" w:rsidRDefault="000D3F71" w:rsidP="000D3F71">
      <w:pPr>
        <w:spacing w:after="0" w:line="240" w:lineRule="auto"/>
        <w:jc w:val="center"/>
        <w:rPr>
          <w:rFonts w:ascii="Times New Roman" w:hAnsi="Times New Roman"/>
          <w:i/>
        </w:rPr>
      </w:pPr>
      <w:r w:rsidRPr="004258F3">
        <w:rPr>
          <w:rFonts w:ascii="Times New Roman" w:hAnsi="Times New Roman"/>
          <w:i/>
        </w:rPr>
        <w:t>Tél : +(237) 77 53 81 14</w:t>
      </w:r>
    </w:p>
    <w:p w:rsidR="000D3F71" w:rsidRDefault="000D3F71" w:rsidP="000D3F71">
      <w:pPr>
        <w:spacing w:after="120" w:line="240" w:lineRule="auto"/>
        <w:rPr>
          <w:rFonts w:ascii="Times New Roman" w:hAnsi="Times New Roman"/>
          <w:sz w:val="24"/>
          <w:szCs w:val="24"/>
        </w:rPr>
      </w:pPr>
    </w:p>
    <w:p w:rsidR="003D0E55" w:rsidRDefault="00DA4AC5" w:rsidP="00DA4AC5">
      <w:pPr>
        <w:spacing w:after="120" w:line="360" w:lineRule="auto"/>
        <w:jc w:val="both"/>
        <w:rPr>
          <w:rFonts w:ascii="Times New Roman" w:hAnsi="Times New Roman"/>
          <w:sz w:val="24"/>
          <w:szCs w:val="24"/>
        </w:rPr>
      </w:pPr>
      <w:r>
        <w:rPr>
          <w:rFonts w:ascii="Times New Roman" w:hAnsi="Times New Roman"/>
          <w:sz w:val="24"/>
          <w:szCs w:val="24"/>
        </w:rPr>
        <w:t>Suite à la lecture de la version (V0) du Rapport, et conformément aux axes indiqués par l</w:t>
      </w:r>
      <w:r w:rsidR="006826C9">
        <w:rPr>
          <w:rFonts w:ascii="Times New Roman" w:hAnsi="Times New Roman"/>
          <w:sz w:val="24"/>
          <w:szCs w:val="24"/>
        </w:rPr>
        <w:t>’équip</w:t>
      </w:r>
      <w:r>
        <w:rPr>
          <w:rFonts w:ascii="Times New Roman" w:hAnsi="Times New Roman"/>
          <w:sz w:val="24"/>
          <w:szCs w:val="24"/>
        </w:rPr>
        <w:t xml:space="preserve">e </w:t>
      </w:r>
      <w:r w:rsidR="006826C9">
        <w:rPr>
          <w:rFonts w:ascii="Times New Roman" w:hAnsi="Times New Roman"/>
          <w:sz w:val="24"/>
          <w:szCs w:val="24"/>
        </w:rPr>
        <w:t xml:space="preserve">du </w:t>
      </w:r>
      <w:r>
        <w:rPr>
          <w:rFonts w:ascii="Times New Roman" w:hAnsi="Times New Roman"/>
          <w:sz w:val="24"/>
          <w:szCs w:val="24"/>
        </w:rPr>
        <w:t>HLPE</w:t>
      </w:r>
      <w:r w:rsidR="006826C9">
        <w:rPr>
          <w:rFonts w:ascii="Times New Roman" w:hAnsi="Times New Roman"/>
          <w:sz w:val="24"/>
          <w:szCs w:val="24"/>
        </w:rPr>
        <w:t xml:space="preserve"> et le Comité directeur</w:t>
      </w:r>
      <w:r>
        <w:rPr>
          <w:rFonts w:ascii="Times New Roman" w:hAnsi="Times New Roman"/>
          <w:sz w:val="24"/>
          <w:szCs w:val="24"/>
        </w:rPr>
        <w:t>, je formule les observations suivantes.</w:t>
      </w:r>
    </w:p>
    <w:p w:rsidR="00DA4AC5" w:rsidRPr="00DA4AC5" w:rsidRDefault="00DA4AC5" w:rsidP="00AB4A93">
      <w:pPr>
        <w:numPr>
          <w:ilvl w:val="0"/>
          <w:numId w:val="1"/>
        </w:numPr>
        <w:spacing w:before="240" w:after="240" w:line="360" w:lineRule="auto"/>
        <w:ind w:left="714" w:hanging="357"/>
        <w:jc w:val="both"/>
        <w:rPr>
          <w:rFonts w:ascii="Times New Roman" w:hAnsi="Times New Roman"/>
          <w:b/>
          <w:sz w:val="24"/>
          <w:szCs w:val="24"/>
        </w:rPr>
      </w:pPr>
      <w:r w:rsidRPr="00DA4AC5">
        <w:rPr>
          <w:rFonts w:ascii="Times New Roman" w:hAnsi="Times New Roman"/>
          <w:b/>
          <w:sz w:val="24"/>
          <w:szCs w:val="24"/>
        </w:rPr>
        <w:t>D’un point de vue général</w:t>
      </w:r>
    </w:p>
    <w:p w:rsidR="00DA4AC5" w:rsidRDefault="00DA4AC5" w:rsidP="00DA4AC5">
      <w:pPr>
        <w:spacing w:after="120" w:line="360" w:lineRule="auto"/>
        <w:jc w:val="both"/>
        <w:rPr>
          <w:rFonts w:ascii="Times New Roman" w:hAnsi="Times New Roman"/>
          <w:sz w:val="24"/>
          <w:szCs w:val="24"/>
        </w:rPr>
      </w:pPr>
      <w:r>
        <w:rPr>
          <w:rFonts w:ascii="Times New Roman" w:hAnsi="Times New Roman"/>
          <w:sz w:val="24"/>
          <w:szCs w:val="24"/>
        </w:rPr>
        <w:t xml:space="preserve">Le Rapport est bien </w:t>
      </w:r>
      <w:r w:rsidR="00C51728">
        <w:rPr>
          <w:rFonts w:ascii="Times New Roman" w:hAnsi="Times New Roman"/>
          <w:sz w:val="24"/>
          <w:szCs w:val="24"/>
        </w:rPr>
        <w:t>structuré</w:t>
      </w:r>
      <w:r>
        <w:rPr>
          <w:rFonts w:ascii="Times New Roman" w:hAnsi="Times New Roman"/>
          <w:sz w:val="24"/>
          <w:szCs w:val="24"/>
        </w:rPr>
        <w:t>, écrit dans un style accessible au grand public.</w:t>
      </w:r>
      <w:r w:rsidR="00C51728">
        <w:rPr>
          <w:rFonts w:ascii="Times New Roman" w:hAnsi="Times New Roman"/>
          <w:sz w:val="24"/>
          <w:szCs w:val="24"/>
        </w:rPr>
        <w:t xml:space="preserve"> Il articule </w:t>
      </w:r>
      <w:r w:rsidR="00124B7C">
        <w:rPr>
          <w:rFonts w:ascii="Times New Roman" w:hAnsi="Times New Roman"/>
          <w:sz w:val="24"/>
          <w:szCs w:val="24"/>
        </w:rPr>
        <w:t>dans une parfaite cohérence,</w:t>
      </w:r>
      <w:r w:rsidR="00C51728">
        <w:rPr>
          <w:rFonts w:ascii="Times New Roman" w:hAnsi="Times New Roman"/>
          <w:sz w:val="24"/>
          <w:szCs w:val="24"/>
        </w:rPr>
        <w:t xml:space="preserve"> idées développées et exemples</w:t>
      </w:r>
      <w:r w:rsidR="0039133F">
        <w:rPr>
          <w:rFonts w:ascii="Times New Roman" w:hAnsi="Times New Roman"/>
          <w:sz w:val="24"/>
          <w:szCs w:val="24"/>
        </w:rPr>
        <w:t xml:space="preserve"> tirés de plusieurs réalités socio-économiques et politiques du monde</w:t>
      </w:r>
      <w:r w:rsidR="00C51728">
        <w:rPr>
          <w:rFonts w:ascii="Times New Roman" w:hAnsi="Times New Roman"/>
          <w:sz w:val="24"/>
          <w:szCs w:val="24"/>
        </w:rPr>
        <w:t>.</w:t>
      </w:r>
    </w:p>
    <w:p w:rsidR="00993BA3" w:rsidRDefault="00993BA3" w:rsidP="00993BA3">
      <w:pPr>
        <w:spacing w:after="120" w:line="360" w:lineRule="auto"/>
        <w:jc w:val="both"/>
        <w:rPr>
          <w:rFonts w:ascii="Times New Roman" w:hAnsi="Times New Roman"/>
          <w:sz w:val="24"/>
          <w:szCs w:val="24"/>
        </w:rPr>
      </w:pPr>
      <w:r w:rsidRPr="00AB4A93">
        <w:rPr>
          <w:rFonts w:ascii="Times New Roman" w:hAnsi="Times New Roman"/>
          <w:b/>
          <w:i/>
          <w:sz w:val="24"/>
          <w:szCs w:val="24"/>
        </w:rPr>
        <w:t>Sur le plan d</w:t>
      </w:r>
      <w:r>
        <w:rPr>
          <w:rFonts w:ascii="Times New Roman" w:hAnsi="Times New Roman"/>
          <w:b/>
          <w:i/>
          <w:sz w:val="24"/>
          <w:szCs w:val="24"/>
        </w:rPr>
        <w:t>u fond</w:t>
      </w:r>
      <w:r>
        <w:rPr>
          <w:rFonts w:ascii="Times New Roman" w:hAnsi="Times New Roman"/>
          <w:sz w:val="24"/>
          <w:szCs w:val="24"/>
        </w:rPr>
        <w:t> : les aspects présentés sont à mon avis suffisamment mis en valeur pour alimenter le débat sur l’investissement dans la petite agriculture. Les faits et chiffres présentés sont suffisants pour aider à la compréhension des problèmes abordés.</w:t>
      </w:r>
    </w:p>
    <w:p w:rsidR="00993BA3" w:rsidRDefault="00AB4A93" w:rsidP="00DA4AC5">
      <w:pPr>
        <w:spacing w:after="120" w:line="360" w:lineRule="auto"/>
        <w:jc w:val="both"/>
        <w:rPr>
          <w:rFonts w:ascii="Times New Roman" w:hAnsi="Times New Roman"/>
          <w:sz w:val="24"/>
          <w:szCs w:val="24"/>
        </w:rPr>
      </w:pPr>
      <w:r w:rsidRPr="00AB4A93">
        <w:rPr>
          <w:rFonts w:ascii="Times New Roman" w:hAnsi="Times New Roman"/>
          <w:b/>
          <w:i/>
          <w:sz w:val="24"/>
          <w:szCs w:val="24"/>
        </w:rPr>
        <w:t>Sur le plan de la forme</w:t>
      </w:r>
      <w:r>
        <w:rPr>
          <w:rFonts w:ascii="Times New Roman" w:hAnsi="Times New Roman"/>
          <w:sz w:val="24"/>
          <w:szCs w:val="24"/>
        </w:rPr>
        <w:t xml:space="preserve"> : </w:t>
      </w:r>
      <w:r w:rsidR="00993BA3">
        <w:rPr>
          <w:rFonts w:ascii="Times New Roman" w:hAnsi="Times New Roman"/>
          <w:sz w:val="24"/>
          <w:szCs w:val="24"/>
        </w:rPr>
        <w:t xml:space="preserve">quelques remarques </w:t>
      </w:r>
      <w:r w:rsidR="00E1453D">
        <w:rPr>
          <w:rFonts w:ascii="Times New Roman" w:hAnsi="Times New Roman"/>
          <w:sz w:val="24"/>
          <w:szCs w:val="24"/>
        </w:rPr>
        <w:t xml:space="preserve">(interrogations) </w:t>
      </w:r>
      <w:r w:rsidR="00993BA3">
        <w:rPr>
          <w:rFonts w:ascii="Times New Roman" w:hAnsi="Times New Roman"/>
          <w:sz w:val="24"/>
          <w:szCs w:val="24"/>
        </w:rPr>
        <w:t>peuvent être faites.</w:t>
      </w:r>
    </w:p>
    <w:p w:rsidR="00AB4A93" w:rsidRDefault="00E71705" w:rsidP="00DA4AC5">
      <w:pPr>
        <w:spacing w:after="120" w:line="360" w:lineRule="auto"/>
        <w:jc w:val="both"/>
        <w:rPr>
          <w:rFonts w:ascii="Times New Roman" w:hAnsi="Times New Roman"/>
          <w:sz w:val="24"/>
          <w:szCs w:val="24"/>
        </w:rPr>
      </w:pPr>
      <w:r>
        <w:rPr>
          <w:rFonts w:ascii="Times New Roman" w:hAnsi="Times New Roman"/>
          <w:sz w:val="24"/>
          <w:szCs w:val="24"/>
        </w:rPr>
        <w:t>La</w:t>
      </w:r>
      <w:r w:rsidR="00AB4A93">
        <w:rPr>
          <w:rFonts w:ascii="Times New Roman" w:hAnsi="Times New Roman"/>
          <w:sz w:val="24"/>
          <w:szCs w:val="24"/>
        </w:rPr>
        <w:t xml:space="preserve"> légende de la figure 3 (page 20) est-elle en français ou en anglais ?  (</w:t>
      </w:r>
      <w:r w:rsidR="00AB4A93" w:rsidRPr="00AB4A93">
        <w:rPr>
          <w:rFonts w:ascii="Times New Roman" w:hAnsi="Times New Roman"/>
          <w:color w:val="FF0000"/>
          <w:sz w:val="24"/>
          <w:szCs w:val="24"/>
        </w:rPr>
        <w:t>Nbre de holding</w:t>
      </w:r>
      <w:r w:rsidR="00AB4A93">
        <w:rPr>
          <w:rFonts w:ascii="Times New Roman" w:hAnsi="Times New Roman"/>
          <w:sz w:val="24"/>
          <w:szCs w:val="24"/>
        </w:rPr>
        <w:t xml:space="preserve">    et     </w:t>
      </w:r>
      <w:r w:rsidR="00C96303">
        <w:rPr>
          <w:rFonts w:ascii="Times New Roman" w:hAnsi="Times New Roman"/>
          <w:color w:val="FF0000"/>
          <w:sz w:val="24"/>
          <w:szCs w:val="24"/>
        </w:rPr>
        <w:t>S</w:t>
      </w:r>
      <w:r w:rsidR="00AB4A93" w:rsidRPr="00AB4A93">
        <w:rPr>
          <w:rFonts w:ascii="Times New Roman" w:hAnsi="Times New Roman"/>
          <w:color w:val="FF0000"/>
          <w:sz w:val="24"/>
          <w:szCs w:val="24"/>
        </w:rPr>
        <w:t>uperficie</w:t>
      </w:r>
      <w:r w:rsidR="00AB4A93">
        <w:rPr>
          <w:rFonts w:ascii="Times New Roman" w:hAnsi="Times New Roman"/>
          <w:sz w:val="24"/>
          <w:szCs w:val="24"/>
        </w:rPr>
        <w:t xml:space="preserve">). Cette présentation est différente de </w:t>
      </w:r>
      <w:r w:rsidR="000D5C43">
        <w:rPr>
          <w:rFonts w:ascii="Times New Roman" w:hAnsi="Times New Roman"/>
          <w:sz w:val="24"/>
          <w:szCs w:val="24"/>
        </w:rPr>
        <w:t xml:space="preserve">celle de </w:t>
      </w:r>
      <w:r w:rsidR="00AB4A93">
        <w:rPr>
          <w:rFonts w:ascii="Times New Roman" w:hAnsi="Times New Roman"/>
          <w:sz w:val="24"/>
          <w:szCs w:val="24"/>
        </w:rPr>
        <w:t>la figure 5, qui a l</w:t>
      </w:r>
      <w:r w:rsidR="000D5C43">
        <w:rPr>
          <w:rFonts w:ascii="Times New Roman" w:hAnsi="Times New Roman"/>
          <w:sz w:val="24"/>
          <w:szCs w:val="24"/>
        </w:rPr>
        <w:t xml:space="preserve">e </w:t>
      </w:r>
      <w:r w:rsidR="00AB4A93">
        <w:rPr>
          <w:rFonts w:ascii="Times New Roman" w:hAnsi="Times New Roman"/>
          <w:sz w:val="24"/>
          <w:szCs w:val="24"/>
        </w:rPr>
        <w:t xml:space="preserve">même </w:t>
      </w:r>
      <w:r w:rsidR="000D5C43">
        <w:rPr>
          <w:rFonts w:ascii="Times New Roman" w:hAnsi="Times New Roman"/>
          <w:sz w:val="24"/>
          <w:szCs w:val="24"/>
        </w:rPr>
        <w:t>titre</w:t>
      </w:r>
      <w:r w:rsidR="00F70D90">
        <w:rPr>
          <w:rFonts w:ascii="Times New Roman" w:hAnsi="Times New Roman"/>
          <w:sz w:val="24"/>
          <w:szCs w:val="24"/>
        </w:rPr>
        <w:t xml:space="preserve"> et la même structure ?</w:t>
      </w:r>
    </w:p>
    <w:p w:rsidR="000D5C43" w:rsidRDefault="000D5C43" w:rsidP="00DA4AC5">
      <w:pPr>
        <w:spacing w:after="120" w:line="360" w:lineRule="auto"/>
        <w:jc w:val="both"/>
        <w:rPr>
          <w:rFonts w:ascii="Times New Roman" w:hAnsi="Times New Roman"/>
          <w:sz w:val="24"/>
          <w:szCs w:val="24"/>
        </w:rPr>
      </w:pPr>
      <w:r>
        <w:rPr>
          <w:rFonts w:ascii="Times New Roman" w:hAnsi="Times New Roman"/>
          <w:sz w:val="24"/>
          <w:szCs w:val="24"/>
        </w:rPr>
        <w:t xml:space="preserve">Les figures 6 et 8 (page 24), 10 (page 25) ne me semblent pas aisément compréhensible (peut-être du fait d’un problème de construction de la légende ? Aux auteurs d’apprécier). </w:t>
      </w:r>
    </w:p>
    <w:p w:rsidR="000D5C43" w:rsidRDefault="000D5C43" w:rsidP="00DA4AC5">
      <w:pPr>
        <w:spacing w:after="120" w:line="360" w:lineRule="auto"/>
        <w:jc w:val="both"/>
        <w:rPr>
          <w:rFonts w:ascii="Times New Roman" w:hAnsi="Times New Roman"/>
          <w:sz w:val="24"/>
          <w:szCs w:val="24"/>
        </w:rPr>
      </w:pPr>
      <w:r>
        <w:rPr>
          <w:rFonts w:ascii="Times New Roman" w:hAnsi="Times New Roman"/>
          <w:sz w:val="24"/>
          <w:szCs w:val="24"/>
        </w:rPr>
        <w:t xml:space="preserve">Pour les figures 7, 9 et 11, </w:t>
      </w:r>
      <w:r w:rsidR="004F6059">
        <w:rPr>
          <w:rFonts w:ascii="Times New Roman" w:hAnsi="Times New Roman"/>
          <w:sz w:val="24"/>
          <w:szCs w:val="24"/>
        </w:rPr>
        <w:t>je proposerais de préciser l’unité (ha ?), soit dans le titre, soit sur la courbe d’évolution).</w:t>
      </w:r>
    </w:p>
    <w:p w:rsidR="00C51728" w:rsidRPr="002D3760" w:rsidRDefault="002D3760" w:rsidP="00AB4A93">
      <w:pPr>
        <w:numPr>
          <w:ilvl w:val="0"/>
          <w:numId w:val="1"/>
        </w:numPr>
        <w:spacing w:before="240" w:after="240" w:line="360" w:lineRule="auto"/>
        <w:ind w:left="714" w:hanging="357"/>
        <w:jc w:val="both"/>
        <w:rPr>
          <w:rFonts w:ascii="Times New Roman" w:hAnsi="Times New Roman"/>
          <w:b/>
          <w:sz w:val="24"/>
          <w:szCs w:val="24"/>
        </w:rPr>
      </w:pPr>
      <w:r w:rsidRPr="002D3760">
        <w:rPr>
          <w:rFonts w:ascii="Times New Roman" w:hAnsi="Times New Roman"/>
          <w:b/>
          <w:sz w:val="24"/>
          <w:szCs w:val="24"/>
        </w:rPr>
        <w:t>Du point de vue des axes indiqués par l</w:t>
      </w:r>
      <w:r w:rsidR="00F70D90">
        <w:rPr>
          <w:rFonts w:ascii="Times New Roman" w:hAnsi="Times New Roman"/>
          <w:b/>
          <w:sz w:val="24"/>
          <w:szCs w:val="24"/>
        </w:rPr>
        <w:t>’équipe du</w:t>
      </w:r>
      <w:r w:rsidRPr="002D3760">
        <w:rPr>
          <w:rFonts w:ascii="Times New Roman" w:hAnsi="Times New Roman"/>
          <w:b/>
          <w:sz w:val="24"/>
          <w:szCs w:val="24"/>
        </w:rPr>
        <w:t xml:space="preserve"> HLPE</w:t>
      </w:r>
      <w:r w:rsidR="00F70D90">
        <w:rPr>
          <w:rFonts w:ascii="Times New Roman" w:hAnsi="Times New Roman"/>
          <w:b/>
          <w:sz w:val="24"/>
          <w:szCs w:val="24"/>
        </w:rPr>
        <w:t xml:space="preserve"> et le Comité directeur</w:t>
      </w:r>
    </w:p>
    <w:p w:rsidR="002D3760" w:rsidRPr="002D3760" w:rsidRDefault="002D3760" w:rsidP="002D3760">
      <w:pPr>
        <w:numPr>
          <w:ilvl w:val="0"/>
          <w:numId w:val="2"/>
        </w:numPr>
        <w:spacing w:after="120" w:line="240" w:lineRule="auto"/>
        <w:jc w:val="both"/>
        <w:rPr>
          <w:rFonts w:ascii="Times New Roman" w:hAnsi="Times New Roman"/>
          <w:b/>
          <w:i/>
          <w:sz w:val="24"/>
          <w:szCs w:val="24"/>
        </w:rPr>
      </w:pPr>
      <w:r w:rsidRPr="002D3760">
        <w:rPr>
          <w:rFonts w:ascii="Times New Roman" w:hAnsi="Times New Roman"/>
          <w:b/>
          <w:i/>
          <w:sz w:val="24"/>
          <w:szCs w:val="24"/>
        </w:rPr>
        <w:t xml:space="preserve">Définition </w:t>
      </w:r>
      <w:r>
        <w:rPr>
          <w:rFonts w:ascii="Times New Roman" w:hAnsi="Times New Roman"/>
          <w:b/>
          <w:i/>
          <w:sz w:val="24"/>
          <w:szCs w:val="24"/>
        </w:rPr>
        <w:t>et importance de la petite agriculture : l’approche présentée par le rapport est-elle adéquate ?</w:t>
      </w:r>
    </w:p>
    <w:p w:rsidR="00AB4A93" w:rsidRDefault="00AF7CB5" w:rsidP="00DA4AC5">
      <w:pPr>
        <w:spacing w:after="120" w:line="360" w:lineRule="auto"/>
        <w:jc w:val="both"/>
        <w:rPr>
          <w:rFonts w:ascii="Times New Roman" w:hAnsi="Times New Roman"/>
          <w:sz w:val="24"/>
          <w:szCs w:val="24"/>
        </w:rPr>
      </w:pPr>
      <w:r>
        <w:rPr>
          <w:rFonts w:ascii="Times New Roman" w:hAnsi="Times New Roman"/>
          <w:sz w:val="24"/>
          <w:szCs w:val="24"/>
        </w:rPr>
        <w:t xml:space="preserve">L’approche présentée par le Rapport est adéquate. </w:t>
      </w:r>
    </w:p>
    <w:p w:rsidR="002D3760" w:rsidRDefault="00AF7CB5" w:rsidP="00AB4A93">
      <w:pPr>
        <w:numPr>
          <w:ilvl w:val="0"/>
          <w:numId w:val="1"/>
        </w:numPr>
        <w:spacing w:after="120" w:line="360" w:lineRule="auto"/>
        <w:jc w:val="both"/>
        <w:rPr>
          <w:rFonts w:ascii="Times New Roman" w:hAnsi="Times New Roman"/>
          <w:sz w:val="24"/>
          <w:szCs w:val="24"/>
        </w:rPr>
      </w:pPr>
      <w:r>
        <w:rPr>
          <w:rFonts w:ascii="Times New Roman" w:hAnsi="Times New Roman"/>
          <w:sz w:val="24"/>
          <w:szCs w:val="24"/>
        </w:rPr>
        <w:lastRenderedPageBreak/>
        <w:t xml:space="preserve">Elle relève clairement des nuances entre les groupes de pays (pays développés et en développement). </w:t>
      </w:r>
      <w:r w:rsidR="00F70D90">
        <w:rPr>
          <w:rFonts w:ascii="Times New Roman" w:hAnsi="Times New Roman"/>
          <w:sz w:val="24"/>
          <w:szCs w:val="24"/>
        </w:rPr>
        <w:t>L</w:t>
      </w:r>
      <w:r>
        <w:rPr>
          <w:rFonts w:ascii="Times New Roman" w:hAnsi="Times New Roman"/>
          <w:sz w:val="24"/>
          <w:szCs w:val="24"/>
        </w:rPr>
        <w:t xml:space="preserve">es caractéristiques de la petite agriculture sont clairement présentées selon ces groupes de pays </w:t>
      </w:r>
      <w:r w:rsidR="00C87A67">
        <w:rPr>
          <w:rFonts w:ascii="Times New Roman" w:hAnsi="Times New Roman"/>
          <w:sz w:val="24"/>
          <w:szCs w:val="24"/>
        </w:rPr>
        <w:t xml:space="preserve">avec une mise en exergue des disparités observées </w:t>
      </w:r>
      <w:r>
        <w:rPr>
          <w:rFonts w:ascii="Times New Roman" w:hAnsi="Times New Roman"/>
          <w:sz w:val="24"/>
          <w:szCs w:val="24"/>
        </w:rPr>
        <w:t>(cas de l’approche définitionnelle de la petite agriculture aux Etats-Unis</w:t>
      </w:r>
      <w:r w:rsidR="00AB4A93">
        <w:rPr>
          <w:rFonts w:ascii="Times New Roman" w:hAnsi="Times New Roman"/>
          <w:sz w:val="24"/>
          <w:szCs w:val="24"/>
        </w:rPr>
        <w:t xml:space="preserve"> et l’exemple y afférent donné à la figure 4 de la page 21</w:t>
      </w:r>
      <w:r w:rsidR="000A0BED">
        <w:rPr>
          <w:rFonts w:ascii="Times New Roman" w:hAnsi="Times New Roman"/>
          <w:sz w:val="24"/>
          <w:szCs w:val="24"/>
        </w:rPr>
        <w:t> ; et cas du Brésil et de la Chine</w:t>
      </w:r>
      <w:r w:rsidR="00AB4A93">
        <w:rPr>
          <w:rFonts w:ascii="Times New Roman" w:hAnsi="Times New Roman"/>
          <w:sz w:val="24"/>
          <w:szCs w:val="24"/>
        </w:rPr>
        <w:t>).</w:t>
      </w:r>
    </w:p>
    <w:p w:rsidR="002D3760" w:rsidRDefault="00AB4A93" w:rsidP="00DA4AC5">
      <w:pPr>
        <w:numPr>
          <w:ilvl w:val="0"/>
          <w:numId w:val="1"/>
        </w:numPr>
        <w:spacing w:after="120" w:line="360" w:lineRule="auto"/>
        <w:jc w:val="both"/>
        <w:rPr>
          <w:rFonts w:ascii="Times New Roman" w:hAnsi="Times New Roman"/>
          <w:sz w:val="24"/>
          <w:szCs w:val="24"/>
        </w:rPr>
      </w:pPr>
      <w:r w:rsidRPr="00AE530E">
        <w:rPr>
          <w:rFonts w:ascii="Times New Roman" w:hAnsi="Times New Roman"/>
          <w:sz w:val="24"/>
          <w:szCs w:val="24"/>
        </w:rPr>
        <w:t xml:space="preserve">Elle souligne également quelques insuffisances (ou manquements) institutionnels permettant d’apprécier pour certains pays, l’imprécision dans la caractérisation de la petite agriculture [l’exemple du Japon ; ou du continent africain dont l’absence des données touche en général plusieurs domaines de la vie socio-économique (figure 5)]. </w:t>
      </w:r>
    </w:p>
    <w:p w:rsidR="00CE027E" w:rsidRPr="00AE530E" w:rsidRDefault="00CE027E" w:rsidP="00CE027E">
      <w:pPr>
        <w:spacing w:after="120" w:line="360" w:lineRule="auto"/>
        <w:jc w:val="both"/>
        <w:rPr>
          <w:rFonts w:ascii="Times New Roman" w:hAnsi="Times New Roman"/>
          <w:sz w:val="24"/>
          <w:szCs w:val="24"/>
        </w:rPr>
      </w:pPr>
      <w:r>
        <w:rPr>
          <w:rFonts w:ascii="Times New Roman" w:hAnsi="Times New Roman"/>
          <w:sz w:val="24"/>
          <w:szCs w:val="24"/>
        </w:rPr>
        <w:t>Le Rapport fait par ailleurs ressortir toute l’importance de la petite agriculture tant du point de vue économique</w:t>
      </w:r>
      <w:r w:rsidR="00292BFE">
        <w:rPr>
          <w:rFonts w:ascii="Times New Roman" w:hAnsi="Times New Roman"/>
          <w:sz w:val="24"/>
          <w:szCs w:val="24"/>
        </w:rPr>
        <w:t xml:space="preserve"> (création d’emplois dans la production et la transformation</w:t>
      </w:r>
      <w:r w:rsidR="000A0BED">
        <w:rPr>
          <w:rFonts w:ascii="Times New Roman" w:hAnsi="Times New Roman"/>
          <w:sz w:val="24"/>
          <w:szCs w:val="24"/>
        </w:rPr>
        <w:t xml:space="preserve"> agricoles</w:t>
      </w:r>
      <w:r w:rsidR="00292BFE">
        <w:rPr>
          <w:rFonts w:ascii="Times New Roman" w:hAnsi="Times New Roman"/>
          <w:sz w:val="24"/>
          <w:szCs w:val="24"/>
        </w:rPr>
        <w:t>, contribution à la réduction des prix des denrées sur les marchés</w:t>
      </w:r>
      <w:r w:rsidR="00F42552">
        <w:rPr>
          <w:rFonts w:ascii="Times New Roman" w:hAnsi="Times New Roman"/>
          <w:sz w:val="24"/>
          <w:szCs w:val="24"/>
        </w:rPr>
        <w:t>, amélioration du revenu des paysans</w:t>
      </w:r>
      <w:r w:rsidR="00292BFE">
        <w:rPr>
          <w:rFonts w:ascii="Times New Roman" w:hAnsi="Times New Roman"/>
          <w:sz w:val="24"/>
          <w:szCs w:val="24"/>
        </w:rPr>
        <w:t>)</w:t>
      </w:r>
      <w:r>
        <w:rPr>
          <w:rFonts w:ascii="Times New Roman" w:hAnsi="Times New Roman"/>
          <w:sz w:val="24"/>
          <w:szCs w:val="24"/>
        </w:rPr>
        <w:t xml:space="preserve"> que social</w:t>
      </w:r>
      <w:r w:rsidR="00292BFE">
        <w:rPr>
          <w:rFonts w:ascii="Times New Roman" w:hAnsi="Times New Roman"/>
          <w:sz w:val="24"/>
          <w:szCs w:val="24"/>
        </w:rPr>
        <w:t xml:space="preserve"> (disponibilité alimentaire, diversification de l’offre)</w:t>
      </w:r>
      <w:r>
        <w:rPr>
          <w:rFonts w:ascii="Times New Roman" w:hAnsi="Times New Roman"/>
          <w:sz w:val="24"/>
          <w:szCs w:val="24"/>
        </w:rPr>
        <w:t>.</w:t>
      </w:r>
      <w:r w:rsidR="00B948C0">
        <w:rPr>
          <w:rFonts w:ascii="Times New Roman" w:hAnsi="Times New Roman"/>
          <w:sz w:val="24"/>
          <w:szCs w:val="24"/>
        </w:rPr>
        <w:t xml:space="preserve"> L</w:t>
      </w:r>
      <w:r w:rsidR="00292BFE">
        <w:rPr>
          <w:rFonts w:ascii="Times New Roman" w:hAnsi="Times New Roman"/>
          <w:sz w:val="24"/>
          <w:szCs w:val="24"/>
        </w:rPr>
        <w:t>’e</w:t>
      </w:r>
      <w:r w:rsidR="00B948C0">
        <w:rPr>
          <w:rFonts w:ascii="Times New Roman" w:hAnsi="Times New Roman"/>
          <w:sz w:val="24"/>
          <w:szCs w:val="24"/>
        </w:rPr>
        <w:t>xemple</w:t>
      </w:r>
      <w:r w:rsidR="00292BFE">
        <w:rPr>
          <w:rFonts w:ascii="Times New Roman" w:hAnsi="Times New Roman"/>
          <w:sz w:val="24"/>
          <w:szCs w:val="24"/>
        </w:rPr>
        <w:t xml:space="preserve"> </w:t>
      </w:r>
      <w:r w:rsidR="00B948C0">
        <w:rPr>
          <w:rFonts w:ascii="Times New Roman" w:hAnsi="Times New Roman"/>
          <w:sz w:val="24"/>
          <w:szCs w:val="24"/>
        </w:rPr>
        <w:t xml:space="preserve">du Brésil </w:t>
      </w:r>
      <w:r w:rsidR="00292BFE">
        <w:rPr>
          <w:rFonts w:ascii="Times New Roman" w:hAnsi="Times New Roman"/>
          <w:sz w:val="24"/>
          <w:szCs w:val="24"/>
        </w:rPr>
        <w:t>illustre assez bien la contribution à la diversification de l’offre alimentaire tant sur les produits vivriers (manioc, maïs…) que sur les produits à forte valeur ajouté (le lait).</w:t>
      </w:r>
    </w:p>
    <w:p w:rsidR="002D3760" w:rsidRPr="002D3760" w:rsidRDefault="002D3760" w:rsidP="00AE530E">
      <w:pPr>
        <w:numPr>
          <w:ilvl w:val="0"/>
          <w:numId w:val="2"/>
        </w:numPr>
        <w:spacing w:before="240" w:after="120" w:line="240" w:lineRule="auto"/>
        <w:ind w:left="1066" w:hanging="357"/>
        <w:jc w:val="both"/>
        <w:rPr>
          <w:rFonts w:ascii="Times New Roman" w:hAnsi="Times New Roman"/>
          <w:b/>
          <w:i/>
          <w:sz w:val="24"/>
          <w:szCs w:val="24"/>
        </w:rPr>
      </w:pPr>
      <w:r>
        <w:rPr>
          <w:rFonts w:ascii="Times New Roman" w:hAnsi="Times New Roman"/>
          <w:b/>
          <w:i/>
          <w:sz w:val="24"/>
          <w:szCs w:val="24"/>
        </w:rPr>
        <w:t xml:space="preserve">Cadre proposé pour la petite agriculture et les investissements dans ce domaine : la typologie est-elle utile, adéquate </w:t>
      </w:r>
      <w:r w:rsidR="00AF7CB5">
        <w:rPr>
          <w:rFonts w:ascii="Times New Roman" w:hAnsi="Times New Roman"/>
          <w:b/>
          <w:i/>
          <w:sz w:val="24"/>
          <w:szCs w:val="24"/>
        </w:rPr>
        <w:t>et accessible pour le problème à aborder ?</w:t>
      </w:r>
    </w:p>
    <w:p w:rsidR="002D3760" w:rsidRDefault="00521017" w:rsidP="00DA4AC5">
      <w:pPr>
        <w:spacing w:after="120" w:line="360" w:lineRule="auto"/>
        <w:jc w:val="both"/>
        <w:rPr>
          <w:rFonts w:ascii="Times New Roman" w:hAnsi="Times New Roman"/>
          <w:sz w:val="24"/>
          <w:szCs w:val="24"/>
        </w:rPr>
      </w:pPr>
      <w:r>
        <w:rPr>
          <w:rFonts w:ascii="Times New Roman" w:hAnsi="Times New Roman"/>
          <w:sz w:val="24"/>
          <w:szCs w:val="24"/>
        </w:rPr>
        <w:t>La typologie proposée es</w:t>
      </w:r>
      <w:r w:rsidR="00BC39DD">
        <w:rPr>
          <w:rFonts w:ascii="Times New Roman" w:hAnsi="Times New Roman"/>
          <w:sz w:val="24"/>
          <w:szCs w:val="24"/>
        </w:rPr>
        <w:t>t utile et peut orienter des actions publiques et privées pour l’accroissement de l’investissement dans la petite agriculture.</w:t>
      </w:r>
    </w:p>
    <w:p w:rsidR="002D3760" w:rsidRPr="002D3760" w:rsidRDefault="00AF7CB5" w:rsidP="00AE530E">
      <w:pPr>
        <w:numPr>
          <w:ilvl w:val="0"/>
          <w:numId w:val="2"/>
        </w:numPr>
        <w:spacing w:before="240" w:after="120" w:line="240" w:lineRule="auto"/>
        <w:ind w:left="1066" w:hanging="357"/>
        <w:jc w:val="both"/>
        <w:rPr>
          <w:rFonts w:ascii="Times New Roman" w:hAnsi="Times New Roman"/>
          <w:b/>
          <w:i/>
          <w:sz w:val="24"/>
          <w:szCs w:val="24"/>
        </w:rPr>
      </w:pPr>
      <w:r>
        <w:rPr>
          <w:rFonts w:ascii="Times New Roman" w:hAnsi="Times New Roman"/>
          <w:b/>
          <w:i/>
          <w:sz w:val="24"/>
          <w:szCs w:val="24"/>
        </w:rPr>
        <w:t>Contraintes pesant sur l’investissement dans la petite agriculture : les principales contraintes sont-elles exposées dans ce projet ? Certains éléments importants ont-ils été omis ?</w:t>
      </w:r>
    </w:p>
    <w:p w:rsidR="002D3760" w:rsidRDefault="00BC39DD" w:rsidP="00DA4AC5">
      <w:pPr>
        <w:spacing w:after="120" w:line="360" w:lineRule="auto"/>
        <w:jc w:val="both"/>
        <w:rPr>
          <w:rFonts w:ascii="Times New Roman" w:hAnsi="Times New Roman"/>
          <w:sz w:val="24"/>
          <w:szCs w:val="24"/>
        </w:rPr>
      </w:pPr>
      <w:r>
        <w:rPr>
          <w:rFonts w:ascii="Times New Roman" w:hAnsi="Times New Roman"/>
          <w:sz w:val="24"/>
          <w:szCs w:val="24"/>
        </w:rPr>
        <w:t xml:space="preserve">Au-delà des 4 principales contraintes identifiées dans le Rapport, il me semble important de </w:t>
      </w:r>
      <w:r w:rsidR="00BE3EDE">
        <w:rPr>
          <w:rFonts w:ascii="Times New Roman" w:hAnsi="Times New Roman"/>
          <w:sz w:val="24"/>
          <w:szCs w:val="24"/>
        </w:rPr>
        <w:t>mentionner</w:t>
      </w:r>
      <w:r>
        <w:rPr>
          <w:rFonts w:ascii="Times New Roman" w:hAnsi="Times New Roman"/>
          <w:sz w:val="24"/>
          <w:szCs w:val="24"/>
        </w:rPr>
        <w:t xml:space="preserve"> explicitement « </w:t>
      </w:r>
      <w:r w:rsidRPr="00BE3EDE">
        <w:rPr>
          <w:rFonts w:ascii="Times New Roman" w:hAnsi="Times New Roman"/>
          <w:b/>
          <w:sz w:val="24"/>
          <w:szCs w:val="24"/>
        </w:rPr>
        <w:t>l’insécurité foncière</w:t>
      </w:r>
      <w:r>
        <w:rPr>
          <w:rFonts w:ascii="Times New Roman" w:hAnsi="Times New Roman"/>
          <w:sz w:val="24"/>
          <w:szCs w:val="24"/>
        </w:rPr>
        <w:t xml:space="preserve"> » </w:t>
      </w:r>
      <w:r w:rsidR="00BE3EDE">
        <w:rPr>
          <w:rFonts w:ascii="Times New Roman" w:hAnsi="Times New Roman"/>
          <w:sz w:val="24"/>
          <w:szCs w:val="24"/>
        </w:rPr>
        <w:t>ou « </w:t>
      </w:r>
      <w:r w:rsidR="00BE3EDE">
        <w:rPr>
          <w:rFonts w:ascii="Times New Roman" w:hAnsi="Times New Roman"/>
          <w:b/>
          <w:sz w:val="24"/>
          <w:szCs w:val="24"/>
        </w:rPr>
        <w:t>la question foncière</w:t>
      </w:r>
      <w:r w:rsidR="00BE3EDE">
        <w:rPr>
          <w:rFonts w:ascii="Times New Roman" w:hAnsi="Times New Roman"/>
          <w:sz w:val="24"/>
          <w:szCs w:val="24"/>
        </w:rPr>
        <w:t xml:space="preserve"> » </w:t>
      </w:r>
      <w:r>
        <w:rPr>
          <w:rFonts w:ascii="Times New Roman" w:hAnsi="Times New Roman"/>
          <w:sz w:val="24"/>
          <w:szCs w:val="24"/>
        </w:rPr>
        <w:t xml:space="preserve">comme une </w:t>
      </w:r>
      <w:r w:rsidR="00BE3EDE">
        <w:rPr>
          <w:rFonts w:ascii="Times New Roman" w:hAnsi="Times New Roman"/>
          <w:sz w:val="24"/>
          <w:szCs w:val="24"/>
        </w:rPr>
        <w:t>contrainte majeure à l’investissement dans la petite agriculture. Cette réalité touche notamment les petits agriculteurs en Afrique subsaharienne dont-on peut homogénéiser les pratiques rurales.</w:t>
      </w:r>
    </w:p>
    <w:p w:rsidR="00BE3EDE" w:rsidRDefault="00BE3EDE" w:rsidP="00DA4AC5">
      <w:pPr>
        <w:spacing w:after="120" w:line="360" w:lineRule="auto"/>
        <w:jc w:val="both"/>
        <w:rPr>
          <w:rFonts w:ascii="Times New Roman" w:hAnsi="Times New Roman"/>
          <w:sz w:val="24"/>
          <w:szCs w:val="24"/>
        </w:rPr>
      </w:pPr>
      <w:r>
        <w:rPr>
          <w:rFonts w:ascii="Times New Roman" w:hAnsi="Times New Roman"/>
          <w:sz w:val="24"/>
          <w:szCs w:val="24"/>
        </w:rPr>
        <w:t xml:space="preserve">L’insécurité foncière </w:t>
      </w:r>
      <w:r w:rsidR="00FF2A2A">
        <w:rPr>
          <w:rFonts w:ascii="Times New Roman" w:hAnsi="Times New Roman"/>
          <w:sz w:val="24"/>
          <w:szCs w:val="24"/>
        </w:rPr>
        <w:t xml:space="preserve">peut </w:t>
      </w:r>
      <w:r>
        <w:rPr>
          <w:rFonts w:ascii="Times New Roman" w:hAnsi="Times New Roman"/>
          <w:sz w:val="24"/>
          <w:szCs w:val="24"/>
        </w:rPr>
        <w:t>impacte</w:t>
      </w:r>
      <w:r w:rsidR="00FF2A2A">
        <w:rPr>
          <w:rFonts w:ascii="Times New Roman" w:hAnsi="Times New Roman"/>
          <w:sz w:val="24"/>
          <w:szCs w:val="24"/>
        </w:rPr>
        <w:t>r</w:t>
      </w:r>
      <w:r>
        <w:rPr>
          <w:rFonts w:ascii="Times New Roman" w:hAnsi="Times New Roman"/>
          <w:sz w:val="24"/>
          <w:szCs w:val="24"/>
        </w:rPr>
        <w:t xml:space="preserve"> sur l’investissement </w:t>
      </w:r>
      <w:r w:rsidR="00FF2A2A">
        <w:rPr>
          <w:rFonts w:ascii="Times New Roman" w:hAnsi="Times New Roman"/>
          <w:sz w:val="24"/>
          <w:szCs w:val="24"/>
        </w:rPr>
        <w:t>dans la petite agriculture sur le capital physique et financier ; et sur le capital naturel (en fonction de la typologie établie concernant les différents types de capital (page 37) :</w:t>
      </w:r>
    </w:p>
    <w:p w:rsidR="000A0BED" w:rsidRDefault="000A0BED" w:rsidP="00DA4AC5">
      <w:pPr>
        <w:spacing w:after="120" w:line="360" w:lineRule="auto"/>
        <w:jc w:val="both"/>
        <w:rPr>
          <w:rFonts w:ascii="Times New Roman" w:hAnsi="Times New Roman"/>
          <w:sz w:val="24"/>
          <w:szCs w:val="24"/>
        </w:rPr>
      </w:pPr>
    </w:p>
    <w:p w:rsidR="000A0BED" w:rsidRDefault="000A0BED" w:rsidP="00DA4AC5">
      <w:pPr>
        <w:spacing w:after="120" w:line="360" w:lineRule="auto"/>
        <w:jc w:val="both"/>
        <w:rPr>
          <w:rFonts w:ascii="Times New Roman" w:hAnsi="Times New Roman"/>
          <w:sz w:val="24"/>
          <w:szCs w:val="24"/>
        </w:rPr>
      </w:pPr>
    </w:p>
    <w:p w:rsidR="00FF2A2A" w:rsidRPr="00FF2A2A" w:rsidRDefault="00FF2A2A" w:rsidP="00FF2A2A">
      <w:pPr>
        <w:numPr>
          <w:ilvl w:val="0"/>
          <w:numId w:val="1"/>
        </w:numPr>
        <w:spacing w:after="120" w:line="360" w:lineRule="auto"/>
        <w:jc w:val="both"/>
        <w:rPr>
          <w:rFonts w:ascii="Times New Roman" w:hAnsi="Times New Roman"/>
          <w:b/>
          <w:i/>
          <w:sz w:val="24"/>
          <w:szCs w:val="24"/>
        </w:rPr>
      </w:pPr>
      <w:r w:rsidRPr="00FF2A2A">
        <w:rPr>
          <w:rFonts w:ascii="Times New Roman" w:hAnsi="Times New Roman"/>
          <w:b/>
          <w:i/>
          <w:sz w:val="24"/>
          <w:szCs w:val="24"/>
        </w:rPr>
        <w:lastRenderedPageBreak/>
        <w:t>Impact sur le capital physique et financier</w:t>
      </w:r>
    </w:p>
    <w:p w:rsidR="002D3760" w:rsidRDefault="00EF707D" w:rsidP="00DA4AC5">
      <w:pPr>
        <w:spacing w:after="120" w:line="360" w:lineRule="auto"/>
        <w:jc w:val="both"/>
        <w:rPr>
          <w:rFonts w:ascii="Times New Roman" w:hAnsi="Times New Roman"/>
          <w:sz w:val="24"/>
          <w:szCs w:val="24"/>
        </w:rPr>
      </w:pPr>
      <w:r>
        <w:rPr>
          <w:rFonts w:ascii="Times New Roman" w:hAnsi="Times New Roman"/>
          <w:sz w:val="24"/>
          <w:szCs w:val="24"/>
        </w:rPr>
        <w:t xml:space="preserve">La dualité entre </w:t>
      </w:r>
      <w:r w:rsidRPr="00EF707D">
        <w:rPr>
          <w:rFonts w:ascii="Times New Roman" w:hAnsi="Times New Roman"/>
          <w:b/>
          <w:sz w:val="24"/>
          <w:szCs w:val="24"/>
        </w:rPr>
        <w:t>loi foncière moderne</w:t>
      </w:r>
      <w:r>
        <w:rPr>
          <w:rFonts w:ascii="Times New Roman" w:hAnsi="Times New Roman"/>
          <w:sz w:val="24"/>
          <w:szCs w:val="24"/>
        </w:rPr>
        <w:t xml:space="preserve"> définie par le cadre réglementaire institutionnel et </w:t>
      </w:r>
      <w:r w:rsidRPr="00EF707D">
        <w:rPr>
          <w:rFonts w:ascii="Times New Roman" w:hAnsi="Times New Roman"/>
          <w:b/>
          <w:sz w:val="24"/>
          <w:szCs w:val="24"/>
        </w:rPr>
        <w:t>loi coutumière</w:t>
      </w:r>
      <w:r>
        <w:rPr>
          <w:rFonts w:ascii="Times New Roman" w:hAnsi="Times New Roman"/>
          <w:sz w:val="24"/>
          <w:szCs w:val="24"/>
        </w:rPr>
        <w:t xml:space="preserve"> dans de nombreux pays </w:t>
      </w:r>
      <w:r w:rsidR="00BA0AC4">
        <w:rPr>
          <w:rFonts w:ascii="Times New Roman" w:hAnsi="Times New Roman"/>
          <w:sz w:val="24"/>
          <w:szCs w:val="24"/>
        </w:rPr>
        <w:t>africains</w:t>
      </w:r>
      <w:r w:rsidR="00462EC1">
        <w:rPr>
          <w:rFonts w:ascii="Times New Roman" w:hAnsi="Times New Roman"/>
          <w:sz w:val="24"/>
          <w:szCs w:val="24"/>
        </w:rPr>
        <w:t xml:space="preserve">, </w:t>
      </w:r>
      <w:r w:rsidR="00F461F3">
        <w:rPr>
          <w:rFonts w:ascii="Times New Roman" w:hAnsi="Times New Roman"/>
          <w:sz w:val="24"/>
          <w:szCs w:val="24"/>
        </w:rPr>
        <w:t>génère des tensions entre populations dites autochtones et allogènes d’une part, et entre autochtones détenteurs des titres de propriété et ceux jouissant du droit d’usufruit</w:t>
      </w:r>
      <w:r w:rsidR="00574330">
        <w:rPr>
          <w:rFonts w:ascii="Times New Roman" w:hAnsi="Times New Roman"/>
          <w:sz w:val="24"/>
          <w:szCs w:val="24"/>
        </w:rPr>
        <w:t xml:space="preserve"> d’autre part</w:t>
      </w:r>
      <w:r w:rsidR="00F461F3">
        <w:rPr>
          <w:rFonts w:ascii="Times New Roman" w:hAnsi="Times New Roman"/>
          <w:sz w:val="24"/>
          <w:szCs w:val="24"/>
        </w:rPr>
        <w:t xml:space="preserve">. </w:t>
      </w:r>
      <w:r w:rsidR="00926219">
        <w:rPr>
          <w:rFonts w:ascii="Times New Roman" w:hAnsi="Times New Roman"/>
          <w:sz w:val="24"/>
          <w:szCs w:val="24"/>
        </w:rPr>
        <w:t xml:space="preserve">Ces tensions sont renforcées dans des zones de forte migration </w:t>
      </w:r>
      <w:r w:rsidR="00487852">
        <w:rPr>
          <w:rFonts w:ascii="Times New Roman" w:hAnsi="Times New Roman"/>
          <w:sz w:val="24"/>
          <w:szCs w:val="24"/>
        </w:rPr>
        <w:t xml:space="preserve">qu’il s’agisse des migrations organisées ou spontanées (le cas de la </w:t>
      </w:r>
      <w:r w:rsidR="00F229CC">
        <w:rPr>
          <w:rFonts w:ascii="Times New Roman" w:hAnsi="Times New Roman"/>
          <w:sz w:val="24"/>
          <w:szCs w:val="24"/>
        </w:rPr>
        <w:t>vallée</w:t>
      </w:r>
      <w:r w:rsidR="00487852">
        <w:rPr>
          <w:rFonts w:ascii="Times New Roman" w:hAnsi="Times New Roman"/>
          <w:sz w:val="24"/>
          <w:szCs w:val="24"/>
        </w:rPr>
        <w:t xml:space="preserve"> de la Bénoué dans le Nord-Cameroun). </w:t>
      </w:r>
      <w:r w:rsidR="007E7EE5">
        <w:rPr>
          <w:rFonts w:ascii="Times New Roman" w:hAnsi="Times New Roman"/>
          <w:sz w:val="24"/>
          <w:szCs w:val="24"/>
        </w:rPr>
        <w:t>Ce contexte polarise de milliers de petits agriculteurs migrants (</w:t>
      </w:r>
      <w:r w:rsidR="001A54D5">
        <w:rPr>
          <w:rFonts w:ascii="Times New Roman" w:hAnsi="Times New Roman"/>
          <w:sz w:val="24"/>
          <w:szCs w:val="24"/>
        </w:rPr>
        <w:t xml:space="preserve">originaires des localités </w:t>
      </w:r>
      <w:r w:rsidR="007E7EE5">
        <w:rPr>
          <w:rFonts w:ascii="Times New Roman" w:hAnsi="Times New Roman"/>
          <w:sz w:val="24"/>
          <w:szCs w:val="24"/>
        </w:rPr>
        <w:t xml:space="preserve">de forte tradition agricole) dans un climat d’insécurité foncière qui tend à </w:t>
      </w:r>
      <w:r w:rsidR="001A54D5">
        <w:rPr>
          <w:rFonts w:ascii="Times New Roman" w:hAnsi="Times New Roman"/>
          <w:sz w:val="24"/>
          <w:szCs w:val="24"/>
        </w:rPr>
        <w:t>réduire</w:t>
      </w:r>
      <w:r w:rsidR="007E7EE5">
        <w:rPr>
          <w:rFonts w:ascii="Times New Roman" w:hAnsi="Times New Roman"/>
          <w:sz w:val="24"/>
          <w:szCs w:val="24"/>
        </w:rPr>
        <w:t xml:space="preserve"> leurs efforts d’investissement tant physique que financier</w:t>
      </w:r>
      <w:r w:rsidR="001A54D5">
        <w:rPr>
          <w:rFonts w:ascii="Times New Roman" w:hAnsi="Times New Roman"/>
          <w:sz w:val="24"/>
          <w:szCs w:val="24"/>
        </w:rPr>
        <w:t xml:space="preserve">, par crainte d’être exproprié (encadré </w:t>
      </w:r>
      <w:r w:rsidR="001F5B2E">
        <w:rPr>
          <w:rFonts w:ascii="Times New Roman" w:hAnsi="Times New Roman"/>
          <w:sz w:val="24"/>
          <w:szCs w:val="24"/>
        </w:rPr>
        <w:t>ci-dessous</w:t>
      </w:r>
      <w:r w:rsidR="001A54D5">
        <w:rPr>
          <w:rFonts w:ascii="Times New Roman" w:hAnsi="Times New Roman"/>
          <w:sz w:val="24"/>
          <w:szCs w:val="24"/>
        </w:rPr>
        <w:t>)</w:t>
      </w:r>
      <w:r w:rsidR="007E7EE5">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FF1DD2" w:rsidRPr="00FF1DD2" w:rsidTr="00FF1DD2">
        <w:tc>
          <w:tcPr>
            <w:tcW w:w="9212" w:type="dxa"/>
          </w:tcPr>
          <w:p w:rsidR="00FF1DD2" w:rsidRDefault="00F229CC" w:rsidP="001E6C38">
            <w:pPr>
              <w:spacing w:before="120" w:after="120" w:line="240" w:lineRule="auto"/>
              <w:jc w:val="both"/>
              <w:rPr>
                <w:rFonts w:ascii="Times New Roman" w:hAnsi="Times New Roman"/>
                <w:b/>
                <w:i/>
                <w:sz w:val="20"/>
                <w:szCs w:val="20"/>
              </w:rPr>
            </w:pPr>
            <w:r w:rsidRPr="00F229CC">
              <w:rPr>
                <w:rFonts w:ascii="Times New Roman" w:hAnsi="Times New Roman"/>
                <w:b/>
                <w:i/>
                <w:sz w:val="20"/>
                <w:szCs w:val="20"/>
              </w:rPr>
              <w:t xml:space="preserve">Encadré : </w:t>
            </w:r>
            <w:r w:rsidR="006516FA">
              <w:rPr>
                <w:rFonts w:ascii="Times New Roman" w:hAnsi="Times New Roman"/>
                <w:b/>
                <w:i/>
                <w:sz w:val="20"/>
                <w:szCs w:val="20"/>
              </w:rPr>
              <w:t>La mobilité humaine,</w:t>
            </w:r>
            <w:r w:rsidRPr="00F229CC">
              <w:rPr>
                <w:rFonts w:ascii="Times New Roman" w:hAnsi="Times New Roman"/>
                <w:b/>
                <w:i/>
                <w:sz w:val="20"/>
                <w:szCs w:val="20"/>
              </w:rPr>
              <w:t xml:space="preserve"> source de tensions </w:t>
            </w:r>
            <w:r w:rsidR="006516FA">
              <w:rPr>
                <w:rFonts w:ascii="Times New Roman" w:hAnsi="Times New Roman"/>
                <w:b/>
                <w:i/>
                <w:sz w:val="20"/>
                <w:szCs w:val="20"/>
              </w:rPr>
              <w:t xml:space="preserve">et d’insécurité </w:t>
            </w:r>
            <w:r w:rsidRPr="00F229CC">
              <w:rPr>
                <w:rFonts w:ascii="Times New Roman" w:hAnsi="Times New Roman"/>
                <w:b/>
                <w:i/>
                <w:sz w:val="20"/>
                <w:szCs w:val="20"/>
              </w:rPr>
              <w:t xml:space="preserve">foncières dans la </w:t>
            </w:r>
            <w:r>
              <w:rPr>
                <w:rFonts w:ascii="Times New Roman" w:hAnsi="Times New Roman"/>
                <w:b/>
                <w:i/>
                <w:sz w:val="20"/>
                <w:szCs w:val="20"/>
              </w:rPr>
              <w:t>vallée</w:t>
            </w:r>
            <w:r w:rsidRPr="00F229CC">
              <w:rPr>
                <w:rFonts w:ascii="Times New Roman" w:hAnsi="Times New Roman"/>
                <w:b/>
                <w:i/>
                <w:sz w:val="20"/>
                <w:szCs w:val="20"/>
              </w:rPr>
              <w:t xml:space="preserve"> de la Bénoué</w:t>
            </w:r>
            <w:r w:rsidR="006516FA">
              <w:rPr>
                <w:rFonts w:ascii="Times New Roman" w:hAnsi="Times New Roman"/>
                <w:b/>
                <w:i/>
                <w:sz w:val="20"/>
                <w:szCs w:val="20"/>
              </w:rPr>
              <w:t xml:space="preserve"> (Cameroun)</w:t>
            </w:r>
          </w:p>
          <w:p w:rsidR="006516FA" w:rsidRPr="006516FA" w:rsidRDefault="006516FA" w:rsidP="006516FA">
            <w:pPr>
              <w:autoSpaceDE w:val="0"/>
              <w:autoSpaceDN w:val="0"/>
              <w:adjustRightInd w:val="0"/>
              <w:spacing w:after="120" w:line="240" w:lineRule="auto"/>
              <w:jc w:val="both"/>
              <w:rPr>
                <w:rFonts w:ascii="Times New Roman" w:hAnsi="Times New Roman"/>
                <w:b/>
                <w:sz w:val="20"/>
                <w:szCs w:val="20"/>
              </w:rPr>
            </w:pPr>
            <w:r w:rsidRPr="006516FA">
              <w:rPr>
                <w:rFonts w:ascii="Times New Roman" w:hAnsi="Times New Roman"/>
                <w:sz w:val="20"/>
                <w:szCs w:val="20"/>
              </w:rPr>
              <w:t xml:space="preserve">(Extrait de Fofiri Nzossié E.J., 2012. </w:t>
            </w:r>
            <w:r w:rsidRPr="006516FA">
              <w:rPr>
                <w:rFonts w:ascii="Times New Roman" w:hAnsi="Times New Roman"/>
                <w:i/>
                <w:sz w:val="20"/>
                <w:szCs w:val="20"/>
              </w:rPr>
              <w:t>Les déterminants de l’offre alimentaire vivrière dans les villes du Nord-Cameroun</w:t>
            </w:r>
            <w:r w:rsidRPr="006516FA">
              <w:rPr>
                <w:rFonts w:ascii="Times New Roman" w:hAnsi="Times New Roman"/>
                <w:sz w:val="20"/>
                <w:szCs w:val="20"/>
              </w:rPr>
              <w:t>, Thèse de Doctorat de géographie économique, Université de Ngaoundéré, Cameroun, 441 p.)</w:t>
            </w:r>
          </w:p>
          <w:p w:rsidR="006516FA" w:rsidRPr="006516FA" w:rsidRDefault="006516FA" w:rsidP="00F229CC">
            <w:pPr>
              <w:spacing w:before="120" w:after="120" w:line="360" w:lineRule="auto"/>
              <w:jc w:val="both"/>
              <w:rPr>
                <w:rFonts w:ascii="Times New Roman" w:hAnsi="Times New Roman"/>
                <w:i/>
                <w:sz w:val="20"/>
                <w:szCs w:val="20"/>
              </w:rPr>
            </w:pPr>
          </w:p>
          <w:p w:rsidR="004C13C5" w:rsidRDefault="00F229CC" w:rsidP="00F229CC">
            <w:pPr>
              <w:autoSpaceDE w:val="0"/>
              <w:autoSpaceDN w:val="0"/>
              <w:adjustRightInd w:val="0"/>
              <w:jc w:val="both"/>
              <w:rPr>
                <w:rFonts w:ascii="Times New Roman" w:hAnsi="Times New Roman"/>
              </w:rPr>
            </w:pPr>
            <w:r w:rsidRPr="00F032D5">
              <w:rPr>
                <w:rFonts w:ascii="Times New Roman" w:hAnsi="Times New Roman"/>
              </w:rPr>
              <w:t xml:space="preserve">Le Nord-Cameroun </w:t>
            </w:r>
            <w:r w:rsidR="004C13C5" w:rsidRPr="00F032D5">
              <w:rPr>
                <w:rFonts w:ascii="Times New Roman" w:hAnsi="Times New Roman"/>
              </w:rPr>
              <w:t xml:space="preserve">qui s’étend environ sur 160 000 km² (1/3 de la superficie du pays) </w:t>
            </w:r>
            <w:r w:rsidRPr="00F032D5">
              <w:rPr>
                <w:rFonts w:ascii="Times New Roman" w:hAnsi="Times New Roman"/>
              </w:rPr>
              <w:t xml:space="preserve">connait une accélération de sa dynamique foncière en rapport avec la croissance démographique. la saturation de la </w:t>
            </w:r>
            <w:r w:rsidR="004C13C5" w:rsidRPr="00F032D5">
              <w:rPr>
                <w:rFonts w:ascii="Times New Roman" w:hAnsi="Times New Roman"/>
              </w:rPr>
              <w:t>région administrative</w:t>
            </w:r>
            <w:r w:rsidRPr="00F032D5">
              <w:rPr>
                <w:rFonts w:ascii="Times New Roman" w:hAnsi="Times New Roman"/>
              </w:rPr>
              <w:t xml:space="preserve"> de l’Extrême-Nord s’est intensifiée avec le doublement de sa population en une trentaine d’années (1976-2010). La densité théorique est passée de 41 hbts/km² à 100 hbts/km², soit 3,5 fois celle d</w:t>
            </w:r>
            <w:r w:rsidR="004C13C5" w:rsidRPr="00F032D5">
              <w:rPr>
                <w:rFonts w:ascii="Times New Roman" w:hAnsi="Times New Roman"/>
              </w:rPr>
              <w:t>es régions du</w:t>
            </w:r>
            <w:r w:rsidRPr="00F032D5">
              <w:rPr>
                <w:rFonts w:ascii="Times New Roman" w:hAnsi="Times New Roman"/>
              </w:rPr>
              <w:t xml:space="preserve"> Nord et 6 fois celle de l’Adamaoua. Cette saturation a été à la base de l’une des plus importantes politiques migratoires élaborées et mises en œuvre par les pouvoirs publics au Cameroun</w:t>
            </w:r>
            <w:r w:rsidRPr="00F032D5">
              <w:rPr>
                <w:rStyle w:val="FootnoteReference"/>
                <w:rFonts w:ascii="Times New Roman" w:hAnsi="Times New Roman"/>
              </w:rPr>
              <w:footnoteReference w:id="1"/>
            </w:r>
            <w:r w:rsidR="004C13C5" w:rsidRPr="00F032D5">
              <w:rPr>
                <w:rFonts w:ascii="Times New Roman" w:hAnsi="Times New Roman"/>
              </w:rPr>
              <w:t>.</w:t>
            </w:r>
            <w:r w:rsidRPr="00F032D5">
              <w:rPr>
                <w:rFonts w:ascii="Times New Roman" w:hAnsi="Times New Roman"/>
              </w:rPr>
              <w:t xml:space="preserve"> </w:t>
            </w:r>
            <w:r w:rsidR="004C13C5" w:rsidRPr="00F032D5">
              <w:rPr>
                <w:rFonts w:ascii="Times New Roman" w:hAnsi="Times New Roman"/>
              </w:rPr>
              <w:t>Elle visait à</w:t>
            </w:r>
            <w:r w:rsidRPr="00F032D5">
              <w:rPr>
                <w:rFonts w:ascii="Times New Roman" w:hAnsi="Times New Roman"/>
              </w:rPr>
              <w:t xml:space="preserve"> transf</w:t>
            </w:r>
            <w:r w:rsidR="004C13C5" w:rsidRPr="00F032D5">
              <w:rPr>
                <w:rFonts w:ascii="Times New Roman" w:hAnsi="Times New Roman"/>
              </w:rPr>
              <w:t>érer</w:t>
            </w:r>
            <w:r w:rsidRPr="00F032D5">
              <w:rPr>
                <w:rFonts w:ascii="Times New Roman" w:hAnsi="Times New Roman"/>
              </w:rPr>
              <w:t xml:space="preserve"> </w:t>
            </w:r>
            <w:r w:rsidR="004C13C5" w:rsidRPr="00F032D5">
              <w:rPr>
                <w:rFonts w:ascii="Times New Roman" w:hAnsi="Times New Roman"/>
              </w:rPr>
              <w:t>l</w:t>
            </w:r>
            <w:r w:rsidRPr="00F032D5">
              <w:rPr>
                <w:rFonts w:ascii="Times New Roman" w:hAnsi="Times New Roman"/>
              </w:rPr>
              <w:t>es populations vers la vallée de la Bénoué</w:t>
            </w:r>
            <w:r w:rsidR="004C13C5" w:rsidRPr="00F032D5">
              <w:rPr>
                <w:rFonts w:ascii="Times New Roman" w:hAnsi="Times New Roman"/>
              </w:rPr>
              <w:t xml:space="preserve"> considérée comme espace « vide »</w:t>
            </w:r>
            <w:r w:rsidRPr="00F032D5">
              <w:rPr>
                <w:rFonts w:ascii="Times New Roman" w:hAnsi="Times New Roman"/>
              </w:rPr>
              <w:t xml:space="preserve"> (Roupsard, 1997 ; Beauvilain, 1989 ; MINPAT/PNUD, 2000 ; Njomaha, 2004). </w:t>
            </w:r>
          </w:p>
          <w:p w:rsidR="00023EC0" w:rsidRPr="00F032D5" w:rsidRDefault="00F229CC" w:rsidP="00F229CC">
            <w:pPr>
              <w:autoSpaceDE w:val="0"/>
              <w:autoSpaceDN w:val="0"/>
              <w:adjustRightInd w:val="0"/>
              <w:jc w:val="both"/>
              <w:rPr>
                <w:rFonts w:ascii="Times New Roman" w:hAnsi="Times New Roman"/>
              </w:rPr>
            </w:pPr>
            <w:r w:rsidRPr="00F032D5">
              <w:rPr>
                <w:rFonts w:ascii="Times New Roman" w:hAnsi="Times New Roman"/>
              </w:rPr>
              <w:t>Le « </w:t>
            </w:r>
            <w:r w:rsidRPr="00F032D5">
              <w:rPr>
                <w:rFonts w:ascii="Times New Roman" w:hAnsi="Times New Roman"/>
                <w:i/>
              </w:rPr>
              <w:t>Programme de migration et de services de soutien agricole</w:t>
            </w:r>
            <w:r w:rsidRPr="00F032D5">
              <w:rPr>
                <w:rFonts w:ascii="Times New Roman" w:hAnsi="Times New Roman"/>
              </w:rPr>
              <w:t xml:space="preserve"> » élaboré à cet effet a permis d’installer plus de 200 000 migrants de l’Extrême-Nord dans </w:t>
            </w:r>
            <w:r w:rsidR="004C13C5" w:rsidRPr="00F032D5">
              <w:rPr>
                <w:rFonts w:ascii="Times New Roman" w:hAnsi="Times New Roman"/>
              </w:rPr>
              <w:t>la vallée de la Bénoué</w:t>
            </w:r>
            <w:r w:rsidRPr="00F032D5">
              <w:rPr>
                <w:rFonts w:ascii="Times New Roman" w:hAnsi="Times New Roman"/>
              </w:rPr>
              <w:t xml:space="preserve"> de 1974 à 1997. </w:t>
            </w:r>
            <w:r w:rsidR="004C13C5" w:rsidRPr="00F032D5">
              <w:rPr>
                <w:rFonts w:ascii="Times New Roman" w:hAnsi="Times New Roman"/>
              </w:rPr>
              <w:t>Depuis 1998,</w:t>
            </w:r>
            <w:r w:rsidRPr="00F032D5">
              <w:rPr>
                <w:rFonts w:ascii="Times New Roman" w:hAnsi="Times New Roman"/>
              </w:rPr>
              <w:t xml:space="preserve"> les migrations </w:t>
            </w:r>
            <w:r w:rsidR="004C13C5" w:rsidRPr="00F032D5">
              <w:rPr>
                <w:rFonts w:ascii="Times New Roman" w:hAnsi="Times New Roman"/>
              </w:rPr>
              <w:t xml:space="preserve">spontanées </w:t>
            </w:r>
            <w:r w:rsidRPr="00F032D5">
              <w:rPr>
                <w:rFonts w:ascii="Times New Roman" w:hAnsi="Times New Roman"/>
              </w:rPr>
              <w:t xml:space="preserve">et individuelles </w:t>
            </w:r>
            <w:r w:rsidR="004C13C5" w:rsidRPr="00F032D5">
              <w:rPr>
                <w:rFonts w:ascii="Times New Roman" w:hAnsi="Times New Roman"/>
              </w:rPr>
              <w:t xml:space="preserve">qui se poursuivent </w:t>
            </w:r>
            <w:r w:rsidRPr="00F032D5">
              <w:rPr>
                <w:rFonts w:ascii="Times New Roman" w:hAnsi="Times New Roman"/>
              </w:rPr>
              <w:t xml:space="preserve">participent à la densification des zones d’accueil (figure </w:t>
            </w:r>
            <w:r w:rsidR="004C13C5" w:rsidRPr="00F032D5">
              <w:rPr>
                <w:rFonts w:ascii="Times New Roman" w:hAnsi="Times New Roman"/>
              </w:rPr>
              <w:t>1</w:t>
            </w:r>
            <w:r w:rsidRPr="00F032D5">
              <w:rPr>
                <w:rFonts w:ascii="Times New Roman" w:hAnsi="Times New Roman"/>
              </w:rPr>
              <w:t xml:space="preserve">). </w:t>
            </w:r>
            <w:r w:rsidR="00023EC0" w:rsidRPr="00F032D5">
              <w:rPr>
                <w:rFonts w:ascii="Times New Roman" w:hAnsi="Times New Roman"/>
              </w:rPr>
              <w:t xml:space="preserve">L’arrivée de </w:t>
            </w:r>
            <w:r w:rsidR="004C13C5" w:rsidRPr="00F032D5">
              <w:rPr>
                <w:rFonts w:ascii="Times New Roman" w:hAnsi="Times New Roman"/>
              </w:rPr>
              <w:t xml:space="preserve">ces </w:t>
            </w:r>
            <w:r w:rsidR="00023EC0" w:rsidRPr="00F032D5">
              <w:rPr>
                <w:rFonts w:ascii="Times New Roman" w:hAnsi="Times New Roman"/>
              </w:rPr>
              <w:t xml:space="preserve">migrants </w:t>
            </w:r>
            <w:r w:rsidR="004C13C5" w:rsidRPr="00F032D5">
              <w:rPr>
                <w:rFonts w:ascii="Times New Roman" w:hAnsi="Times New Roman"/>
              </w:rPr>
              <w:t xml:space="preserve">génère </w:t>
            </w:r>
            <w:r w:rsidR="00023EC0" w:rsidRPr="00F032D5">
              <w:rPr>
                <w:rFonts w:ascii="Times New Roman" w:hAnsi="Times New Roman"/>
              </w:rPr>
              <w:t>de</w:t>
            </w:r>
            <w:r w:rsidR="004C13C5" w:rsidRPr="00F032D5">
              <w:rPr>
                <w:rFonts w:ascii="Times New Roman" w:hAnsi="Times New Roman"/>
              </w:rPr>
              <w:t>s</w:t>
            </w:r>
            <w:r w:rsidR="00023EC0" w:rsidRPr="00F032D5">
              <w:rPr>
                <w:rFonts w:ascii="Times New Roman" w:hAnsi="Times New Roman"/>
              </w:rPr>
              <w:t xml:space="preserve"> conflits </w:t>
            </w:r>
            <w:r w:rsidR="004C13C5" w:rsidRPr="00F032D5">
              <w:rPr>
                <w:rFonts w:ascii="Times New Roman" w:hAnsi="Times New Roman"/>
              </w:rPr>
              <w:t>fonciers qui</w:t>
            </w:r>
            <w:r w:rsidR="00023EC0" w:rsidRPr="00F032D5">
              <w:rPr>
                <w:rFonts w:ascii="Times New Roman" w:hAnsi="Times New Roman"/>
              </w:rPr>
              <w:t xml:space="preserve"> trouvent tant bien que mal des solutions dans un arbitrage coutumier peu crédible notamment aux yeux des migrants.</w:t>
            </w:r>
          </w:p>
          <w:p w:rsidR="00023EC0" w:rsidRPr="00F032D5" w:rsidRDefault="00023EC0" w:rsidP="00662CFD">
            <w:pPr>
              <w:widowControl w:val="0"/>
              <w:shd w:val="clear" w:color="auto" w:fill="FFFFFF"/>
              <w:autoSpaceDE w:val="0"/>
              <w:autoSpaceDN w:val="0"/>
              <w:adjustRightInd w:val="0"/>
              <w:jc w:val="both"/>
              <w:rPr>
                <w:rFonts w:ascii="Times New Roman" w:hAnsi="Times New Roman"/>
              </w:rPr>
            </w:pPr>
            <w:r w:rsidRPr="00F032D5">
              <w:rPr>
                <w:rFonts w:ascii="Times New Roman" w:hAnsi="Times New Roman"/>
              </w:rPr>
              <w:t xml:space="preserve">Le foncier demeure </w:t>
            </w:r>
            <w:r w:rsidR="00D67FE8" w:rsidRPr="00F032D5">
              <w:rPr>
                <w:rFonts w:ascii="Times New Roman" w:hAnsi="Times New Roman"/>
              </w:rPr>
              <w:t xml:space="preserve">en effet </w:t>
            </w:r>
            <w:r w:rsidRPr="00F032D5">
              <w:rPr>
                <w:rFonts w:ascii="Times New Roman" w:hAnsi="Times New Roman"/>
              </w:rPr>
              <w:t xml:space="preserve">une question délicate à aborder dans le Nord-Cameroun en raison des mécanismes de gestion de la terre qui ont toujours placé l’autorité </w:t>
            </w:r>
            <w:r w:rsidR="002A7E6B" w:rsidRPr="00F032D5">
              <w:rPr>
                <w:rFonts w:ascii="Times New Roman" w:hAnsi="Times New Roman"/>
              </w:rPr>
              <w:t>coutumière</w:t>
            </w:r>
            <w:r w:rsidRPr="00F032D5">
              <w:rPr>
                <w:rFonts w:ascii="Times New Roman" w:hAnsi="Times New Roman"/>
              </w:rPr>
              <w:t xml:space="preserve"> au centre du dispositif. En 1974 l’Etat Camerounais marque sa volonté de contrôler le foncier à travers la loi foncière de la même année</w:t>
            </w:r>
            <w:r w:rsidR="002A7E6B" w:rsidRPr="00F032D5">
              <w:rPr>
                <w:rFonts w:ascii="Times New Roman" w:hAnsi="Times New Roman"/>
              </w:rPr>
              <w:t>,</w:t>
            </w:r>
            <w:r w:rsidRPr="00F032D5">
              <w:rPr>
                <w:rFonts w:ascii="Times New Roman" w:hAnsi="Times New Roman"/>
              </w:rPr>
              <w:t xml:space="preserve"> qui en fait le principal gestionnaire de la ressource. Dans la pratique cependant, les autorités </w:t>
            </w:r>
            <w:r w:rsidR="002A7E6B" w:rsidRPr="00F032D5">
              <w:rPr>
                <w:rFonts w:ascii="Times New Roman" w:hAnsi="Times New Roman"/>
              </w:rPr>
              <w:t>coutumières</w:t>
            </w:r>
            <w:r w:rsidRPr="00F032D5">
              <w:rPr>
                <w:rFonts w:ascii="Times New Roman" w:hAnsi="Times New Roman"/>
              </w:rPr>
              <w:t>, auxiliaires de l’administration sont régulièrement associées à sa gestion avec des limites de pouvoir assez imprécises. Pour Teyssier (2003), la reconnaissance du pouvoir coutumier comme gérant exclusif du foncier parmi les prérogatives accordées aux chefferies du Nord en contrepartie d’une alliance avec le gouvernement sur l’échiquier politique national</w:t>
            </w:r>
            <w:r w:rsidR="002A7E6B" w:rsidRPr="00F032D5">
              <w:rPr>
                <w:rFonts w:ascii="Times New Roman" w:hAnsi="Times New Roman"/>
              </w:rPr>
              <w:t>,</w:t>
            </w:r>
            <w:r w:rsidRPr="00F032D5">
              <w:rPr>
                <w:rFonts w:ascii="Times New Roman" w:hAnsi="Times New Roman"/>
              </w:rPr>
              <w:t xml:space="preserve"> a entraîné de graves dérives dont les conséquences sont perceptibles au plan socio-économique. La gestion foncière est vite devenue la principale source de revenus pour l</w:t>
            </w:r>
            <w:r w:rsidR="002A7E6B" w:rsidRPr="00F032D5">
              <w:rPr>
                <w:rFonts w:ascii="Times New Roman" w:hAnsi="Times New Roman"/>
              </w:rPr>
              <w:t>es</w:t>
            </w:r>
            <w:r w:rsidRPr="00F032D5">
              <w:rPr>
                <w:rFonts w:ascii="Times New Roman" w:hAnsi="Times New Roman"/>
              </w:rPr>
              <w:t xml:space="preserve"> chefferie</w:t>
            </w:r>
            <w:r w:rsidR="002A7E6B" w:rsidRPr="00F032D5">
              <w:rPr>
                <w:rFonts w:ascii="Times New Roman" w:hAnsi="Times New Roman"/>
              </w:rPr>
              <w:t>s</w:t>
            </w:r>
            <w:r w:rsidRPr="00F032D5">
              <w:rPr>
                <w:rFonts w:ascii="Times New Roman" w:hAnsi="Times New Roman"/>
              </w:rPr>
              <w:t xml:space="preserve">, à travers l’octroi notamment aux étrangers des droits d’usage sur le sol qui s’accompagne de la </w:t>
            </w:r>
            <w:r w:rsidRPr="00F032D5">
              <w:rPr>
                <w:rFonts w:ascii="Times New Roman" w:hAnsi="Times New Roman"/>
                <w:i/>
              </w:rPr>
              <w:t>zakkat</w:t>
            </w:r>
            <w:r w:rsidRPr="00F032D5">
              <w:rPr>
                <w:rFonts w:ascii="Times New Roman" w:hAnsi="Times New Roman"/>
              </w:rPr>
              <w:t xml:space="preserve"> (impôt en nature), l’arbitrage des conflits soumis à diverses taxations, la réglementation et la répression de diverses formes de violations. </w:t>
            </w:r>
          </w:p>
          <w:p w:rsidR="002A7E6B" w:rsidRPr="00F032D5" w:rsidRDefault="00023EC0" w:rsidP="002E375A">
            <w:pPr>
              <w:spacing w:line="240" w:lineRule="auto"/>
              <w:jc w:val="both"/>
              <w:rPr>
                <w:rFonts w:ascii="Times New Roman" w:hAnsi="Times New Roman"/>
              </w:rPr>
            </w:pPr>
            <w:r w:rsidRPr="00F032D5">
              <w:rPr>
                <w:rFonts w:ascii="Times New Roman" w:hAnsi="Times New Roman"/>
              </w:rPr>
              <w:t>L’utilisation des réseaux de chefferies par l’Etat a renforcé le pouvoir de contrôle des autorités traditionnelles sur la ressource, quelquefois au détriment des actions concertées, comme ce fut le cas dans le Mayo-Rey (Seignobos, 2006)</w:t>
            </w:r>
            <w:r w:rsidR="002A7E6B" w:rsidRPr="00F032D5">
              <w:rPr>
                <w:rFonts w:ascii="Times New Roman" w:hAnsi="Times New Roman"/>
              </w:rPr>
              <w:t>. En 2004 le pouvoir traditionnel arrête le processus d’un projet de marquage foncier sur les limites litigieuses dans une zone de cohabitation entre migrants et autochtones inauguré après 1996 alors que les négociations étaient en cours. Cet acte mettait ainsi fin à huit années de bornage, entamé par le projet Développement Paysannal et Gestion de Terroirs (DPGT) et poursuivi par un bureau d’étude [Territoires et Développement local (Terdel)] ; en même temps qu’il permettait au pouvoir traditionnel d’affirmer sa primauté sur la terre, sous le regard impuissant de l’administration centrale et de l’ensemble des parties prenantes.</w:t>
            </w:r>
          </w:p>
          <w:p w:rsidR="00023EC0" w:rsidRDefault="00023EC0" w:rsidP="002A7E6B">
            <w:pPr>
              <w:widowControl w:val="0"/>
              <w:shd w:val="clear" w:color="auto" w:fill="FFFFFF"/>
              <w:autoSpaceDE w:val="0"/>
              <w:autoSpaceDN w:val="0"/>
              <w:adjustRightInd w:val="0"/>
              <w:jc w:val="both"/>
              <w:rPr>
                <w:color w:val="000000"/>
                <w:sz w:val="23"/>
                <w:szCs w:val="23"/>
              </w:rPr>
            </w:pPr>
            <w:r w:rsidRPr="00F032D5">
              <w:rPr>
                <w:rFonts w:ascii="Times New Roman" w:hAnsi="Times New Roman"/>
              </w:rPr>
              <w:t xml:space="preserve">L’insécurité foncière apparaît ainsi comme une contrainte majeure au développement de l’activité agricole, tant elle plonge les </w:t>
            </w:r>
            <w:r w:rsidR="002E375A" w:rsidRPr="00F032D5">
              <w:rPr>
                <w:rFonts w:ascii="Times New Roman" w:hAnsi="Times New Roman"/>
              </w:rPr>
              <w:t>petits agriculteurs</w:t>
            </w:r>
            <w:r w:rsidRPr="00F032D5">
              <w:rPr>
                <w:rFonts w:ascii="Times New Roman" w:hAnsi="Times New Roman"/>
              </w:rPr>
              <w:t xml:space="preserve">, et particulièrement </w:t>
            </w:r>
            <w:r w:rsidR="002E375A" w:rsidRPr="00F032D5">
              <w:rPr>
                <w:rFonts w:ascii="Times New Roman" w:hAnsi="Times New Roman"/>
              </w:rPr>
              <w:t>ceux dits allochtones</w:t>
            </w:r>
            <w:r w:rsidRPr="00F032D5">
              <w:rPr>
                <w:rFonts w:ascii="Times New Roman" w:hAnsi="Times New Roman"/>
              </w:rPr>
              <w:t xml:space="preserve"> dans un climat d’incertitude quant à l’accès à la terre.</w:t>
            </w:r>
            <w:r w:rsidRPr="00F032D5">
              <w:rPr>
                <w:rFonts w:ascii="Times New Roman" w:hAnsi="Times New Roman"/>
                <w:color w:val="000000"/>
              </w:rPr>
              <w:t xml:space="preserve"> </w:t>
            </w:r>
          </w:p>
          <w:p w:rsidR="00023EC0" w:rsidRPr="00854617" w:rsidRDefault="00023EC0" w:rsidP="00F229CC">
            <w:pPr>
              <w:autoSpaceDE w:val="0"/>
              <w:autoSpaceDN w:val="0"/>
              <w:adjustRightInd w:val="0"/>
              <w:jc w:val="both"/>
            </w:pPr>
          </w:p>
          <w:p w:rsidR="00F229CC" w:rsidRDefault="003D5B40" w:rsidP="00D87BC1">
            <w:pPr>
              <w:spacing w:after="0" w:line="240" w:lineRule="auto"/>
              <w:jc w:val="center"/>
              <w:rPr>
                <w:noProof/>
              </w:rPr>
            </w:pPr>
            <w:r>
              <w:rPr>
                <w:noProof/>
                <w:lang w:val="en-US"/>
              </w:rPr>
              <w:drawing>
                <wp:inline distT="0" distB="0" distL="0" distR="0">
                  <wp:extent cx="5184775" cy="5123815"/>
                  <wp:effectExtent l="19050" t="0" r="0" b="0"/>
                  <wp:docPr id="1" name="Picture 1" descr="Carte_migration_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e_migration_Nord"/>
                          <pic:cNvPicPr>
                            <a:picLocks noChangeAspect="1" noChangeArrowheads="1"/>
                          </pic:cNvPicPr>
                        </pic:nvPicPr>
                        <pic:blipFill>
                          <a:blip r:embed="rId8" cstate="print"/>
                          <a:srcRect/>
                          <a:stretch>
                            <a:fillRect/>
                          </a:stretch>
                        </pic:blipFill>
                        <pic:spPr bwMode="auto">
                          <a:xfrm>
                            <a:off x="0" y="0"/>
                            <a:ext cx="5184775" cy="5123815"/>
                          </a:xfrm>
                          <a:prstGeom prst="rect">
                            <a:avLst/>
                          </a:prstGeom>
                          <a:noFill/>
                          <a:ln w="9525">
                            <a:noFill/>
                            <a:miter lim="800000"/>
                            <a:headEnd/>
                            <a:tailEnd/>
                          </a:ln>
                        </pic:spPr>
                      </pic:pic>
                    </a:graphicData>
                  </a:graphic>
                </wp:inline>
              </w:drawing>
            </w:r>
          </w:p>
          <w:p w:rsidR="00023EC0" w:rsidRPr="00854617" w:rsidRDefault="00023EC0" w:rsidP="00D87BC1">
            <w:pPr>
              <w:pStyle w:val="Caption"/>
              <w:spacing w:before="60" w:after="60" w:line="240" w:lineRule="auto"/>
              <w:ind w:firstLine="0"/>
              <w:jc w:val="center"/>
              <w:rPr>
                <w:b w:val="0"/>
                <w:i/>
              </w:rPr>
            </w:pPr>
            <w:bookmarkStart w:id="0" w:name="_Toc253774877"/>
            <w:bookmarkStart w:id="1" w:name="_Toc290379329"/>
            <w:bookmarkStart w:id="2" w:name="_Toc290379684"/>
            <w:r w:rsidRPr="00854617">
              <w:rPr>
                <w:i/>
              </w:rPr>
              <w:t xml:space="preserve">Figure </w:t>
            </w:r>
            <w:r w:rsidRPr="00854617">
              <w:rPr>
                <w:i/>
              </w:rPr>
              <w:fldChar w:fldCharType="begin"/>
            </w:r>
            <w:r w:rsidRPr="00854617">
              <w:rPr>
                <w:i/>
              </w:rPr>
              <w:instrText xml:space="preserve"> SEQ Figure \* ARABIC </w:instrText>
            </w:r>
            <w:r w:rsidRPr="00854617">
              <w:rPr>
                <w:i/>
              </w:rPr>
              <w:fldChar w:fldCharType="separate"/>
            </w:r>
            <w:r w:rsidR="00F032D5">
              <w:rPr>
                <w:i/>
                <w:noProof/>
              </w:rPr>
              <w:t>1</w:t>
            </w:r>
            <w:r w:rsidRPr="00854617">
              <w:rPr>
                <w:i/>
              </w:rPr>
              <w:fldChar w:fldCharType="end"/>
            </w:r>
            <w:r w:rsidRPr="00854617">
              <w:rPr>
                <w:i/>
              </w:rPr>
              <w:t> </w:t>
            </w:r>
            <w:r w:rsidRPr="00854617">
              <w:rPr>
                <w:b w:val="0"/>
                <w:i/>
              </w:rPr>
              <w:t xml:space="preserve">: </w:t>
            </w:r>
            <w:bookmarkEnd w:id="0"/>
            <w:r w:rsidRPr="00854617">
              <w:rPr>
                <w:b w:val="0"/>
                <w:i/>
              </w:rPr>
              <w:t xml:space="preserve">Zones </w:t>
            </w:r>
            <w:r w:rsidR="006516FA">
              <w:rPr>
                <w:b w:val="0"/>
                <w:i/>
              </w:rPr>
              <w:t xml:space="preserve">de migration organisée dans la vallée </w:t>
            </w:r>
            <w:bookmarkEnd w:id="1"/>
            <w:bookmarkEnd w:id="2"/>
            <w:r w:rsidR="006516FA">
              <w:rPr>
                <w:b w:val="0"/>
                <w:i/>
              </w:rPr>
              <w:t>de la Bénoué à travers des projets étatiques</w:t>
            </w:r>
          </w:p>
          <w:p w:rsidR="00023EC0" w:rsidRDefault="00023EC0" w:rsidP="00FF1DD2">
            <w:pPr>
              <w:spacing w:after="120" w:line="360" w:lineRule="auto"/>
              <w:jc w:val="both"/>
              <w:rPr>
                <w:rFonts w:ascii="Times New Roman" w:hAnsi="Times New Roman"/>
                <w:sz w:val="24"/>
                <w:szCs w:val="24"/>
              </w:rPr>
            </w:pPr>
          </w:p>
          <w:p w:rsidR="00CF3B26" w:rsidRDefault="00CF3B26" w:rsidP="00FF1DD2">
            <w:pPr>
              <w:spacing w:after="120" w:line="360" w:lineRule="auto"/>
              <w:jc w:val="both"/>
              <w:rPr>
                <w:rFonts w:ascii="Times New Roman" w:hAnsi="Times New Roman"/>
                <w:sz w:val="24"/>
                <w:szCs w:val="24"/>
              </w:rPr>
            </w:pPr>
            <w:r w:rsidRPr="00CF3B26">
              <w:rPr>
                <w:rFonts w:ascii="Times New Roman" w:hAnsi="Times New Roman"/>
                <w:b/>
                <w:i/>
                <w:sz w:val="24"/>
                <w:szCs w:val="24"/>
              </w:rPr>
              <w:t>Références bibliographiques citées</w:t>
            </w:r>
            <w:r>
              <w:rPr>
                <w:rFonts w:ascii="Times New Roman" w:hAnsi="Times New Roman"/>
                <w:sz w:val="24"/>
                <w:szCs w:val="24"/>
              </w:rPr>
              <w:t> :</w:t>
            </w:r>
          </w:p>
          <w:p w:rsidR="00CF3B26" w:rsidRPr="00CF3B26" w:rsidRDefault="00CF3B26" w:rsidP="00CF3B26">
            <w:pPr>
              <w:tabs>
                <w:tab w:val="left" w:pos="3780"/>
              </w:tabs>
              <w:spacing w:before="60" w:after="60" w:line="240" w:lineRule="auto"/>
              <w:jc w:val="both"/>
              <w:rPr>
                <w:rFonts w:ascii="Times New Roman" w:hAnsi="Times New Roman"/>
              </w:rPr>
            </w:pPr>
            <w:r w:rsidRPr="00CF3B26">
              <w:rPr>
                <w:rFonts w:ascii="Times New Roman" w:hAnsi="Times New Roman"/>
              </w:rPr>
              <w:t xml:space="preserve">Beauvilain A., (1989). </w:t>
            </w:r>
            <w:r w:rsidRPr="00CF3B26">
              <w:rPr>
                <w:rFonts w:ascii="Times New Roman" w:hAnsi="Times New Roman"/>
                <w:i/>
              </w:rPr>
              <w:t>Nord-Cameroun : Crises et peuplement</w:t>
            </w:r>
            <w:r w:rsidRPr="00CF3B26">
              <w:rPr>
                <w:rFonts w:ascii="Times New Roman" w:hAnsi="Times New Roman"/>
              </w:rPr>
              <w:t>, Thèse de Doctorat de Géographie, Université de Rouen, 2 vol, 625 p.</w:t>
            </w:r>
          </w:p>
          <w:p w:rsidR="00CF3B26" w:rsidRPr="00CF3B26" w:rsidRDefault="00CF3B26" w:rsidP="00CF3B26">
            <w:pPr>
              <w:spacing w:before="60" w:after="60" w:line="240" w:lineRule="auto"/>
              <w:jc w:val="both"/>
              <w:rPr>
                <w:rFonts w:ascii="Times New Roman" w:hAnsi="Times New Roman"/>
                <w:lang w:val="en-GB"/>
              </w:rPr>
            </w:pPr>
            <w:r w:rsidRPr="00CF3B26">
              <w:rPr>
                <w:rFonts w:ascii="Times New Roman" w:hAnsi="Times New Roman"/>
                <w:lang w:val="en-GB"/>
              </w:rPr>
              <w:t xml:space="preserve">Njomaha C., 2004. </w:t>
            </w:r>
            <w:r w:rsidRPr="00CF3B26">
              <w:rPr>
                <w:rFonts w:ascii="Times New Roman" w:hAnsi="Times New Roman"/>
                <w:i/>
                <w:lang w:val="en-GB"/>
              </w:rPr>
              <w:t xml:space="preserve">Agricultural change, food production and sustainability in the Far North of </w:t>
            </w:r>
            <w:smartTag w:uri="urn:schemas-microsoft-com:office:smarttags" w:element="country-region">
              <w:r w:rsidRPr="00CF3B26">
                <w:rPr>
                  <w:rFonts w:ascii="Times New Roman" w:hAnsi="Times New Roman"/>
                  <w:i/>
                  <w:lang w:val="en-GB"/>
                </w:rPr>
                <w:t>Cameroun</w:t>
              </w:r>
            </w:smartTag>
            <w:r w:rsidRPr="00CF3B26">
              <w:rPr>
                <w:rFonts w:ascii="Times New Roman" w:hAnsi="Times New Roman"/>
                <w:i/>
                <w:lang w:val="en-GB"/>
              </w:rPr>
              <w:t xml:space="preserve">, </w:t>
            </w:r>
            <w:smartTag w:uri="urn:schemas-microsoft-com:office:smarttags" w:element="City">
              <w:r w:rsidRPr="00CF3B26">
                <w:rPr>
                  <w:rFonts w:ascii="Times New Roman" w:hAnsi="Times New Roman"/>
                  <w:i/>
                  <w:lang w:val="en-GB"/>
                </w:rPr>
                <w:t>Leiden</w:t>
              </w:r>
            </w:smartTag>
            <w:r w:rsidRPr="00CF3B26">
              <w:rPr>
                <w:rFonts w:ascii="Times New Roman" w:hAnsi="Times New Roman"/>
                <w:i/>
                <w:lang w:val="en-GB"/>
              </w:rPr>
              <w:t xml:space="preserve">, </w:t>
            </w:r>
            <w:smartTag w:uri="urn:schemas-microsoft-com:office:smarttags" w:element="place">
              <w:smartTag w:uri="urn:schemas-microsoft-com:office:smarttags" w:element="PlaceType">
                <w:r w:rsidRPr="00CF3B26">
                  <w:rPr>
                    <w:rFonts w:ascii="Times New Roman" w:hAnsi="Times New Roman"/>
                    <w:lang w:val="en-GB"/>
                  </w:rPr>
                  <w:t>Institute</w:t>
                </w:r>
              </w:smartTag>
              <w:r w:rsidRPr="00CF3B26">
                <w:rPr>
                  <w:rFonts w:ascii="Times New Roman" w:hAnsi="Times New Roman"/>
                  <w:lang w:val="en-GB"/>
                </w:rPr>
                <w:t xml:space="preserve"> of </w:t>
              </w:r>
              <w:smartTag w:uri="urn:schemas-microsoft-com:office:smarttags" w:element="PlaceName">
                <w:r w:rsidRPr="00CF3B26">
                  <w:rPr>
                    <w:rFonts w:ascii="Times New Roman" w:hAnsi="Times New Roman"/>
                    <w:lang w:val="en-GB"/>
                  </w:rPr>
                  <w:t>Environmental Sciences</w:t>
                </w:r>
              </w:smartTag>
            </w:smartTag>
            <w:r w:rsidRPr="00CF3B26">
              <w:rPr>
                <w:rFonts w:ascii="Times New Roman" w:hAnsi="Times New Roman"/>
                <w:lang w:val="en-GB"/>
              </w:rPr>
              <w:t>, 245 P.</w:t>
            </w:r>
          </w:p>
          <w:p w:rsidR="00CF3B26" w:rsidRPr="00CF3B26" w:rsidRDefault="00CF3B26" w:rsidP="00CF3B26">
            <w:pPr>
              <w:tabs>
                <w:tab w:val="left" w:pos="3780"/>
              </w:tabs>
              <w:spacing w:before="60" w:after="60" w:line="240" w:lineRule="auto"/>
              <w:jc w:val="both"/>
              <w:rPr>
                <w:rFonts w:ascii="Times New Roman" w:hAnsi="Times New Roman"/>
              </w:rPr>
            </w:pPr>
            <w:r w:rsidRPr="00CF3B26">
              <w:rPr>
                <w:rFonts w:ascii="Times New Roman" w:hAnsi="Times New Roman"/>
              </w:rPr>
              <w:t xml:space="preserve">Roupsard M. (1987). </w:t>
            </w:r>
            <w:r w:rsidRPr="00CF3B26">
              <w:rPr>
                <w:rFonts w:ascii="Times New Roman" w:hAnsi="Times New Roman"/>
                <w:i/>
              </w:rPr>
              <w:t>Nord-Cameroun, ouverture et développement</w:t>
            </w:r>
            <w:r w:rsidRPr="00CF3B26">
              <w:rPr>
                <w:rFonts w:ascii="Times New Roman" w:hAnsi="Times New Roman"/>
              </w:rPr>
              <w:t>, Thèse de Doctorat en Géographie, Université de Paris X-Nanterre, France, 516 p.</w:t>
            </w:r>
          </w:p>
          <w:p w:rsidR="00CF3B26" w:rsidRPr="00CF3B26" w:rsidRDefault="00CF3B26" w:rsidP="00CF3B26">
            <w:pPr>
              <w:tabs>
                <w:tab w:val="left" w:pos="3780"/>
              </w:tabs>
              <w:spacing w:before="60" w:after="60" w:line="240" w:lineRule="auto"/>
              <w:jc w:val="both"/>
              <w:rPr>
                <w:rFonts w:ascii="Times New Roman" w:hAnsi="Times New Roman"/>
              </w:rPr>
            </w:pPr>
            <w:r w:rsidRPr="00CF3B26">
              <w:rPr>
                <w:rStyle w:val="auteurird"/>
                <w:rFonts w:ascii="Times New Roman" w:hAnsi="Times New Roman"/>
              </w:rPr>
              <w:t>Seignobos C.</w:t>
            </w:r>
            <w:r w:rsidRPr="00CF3B26">
              <w:rPr>
                <w:rFonts w:ascii="Times New Roman" w:hAnsi="Times New Roman"/>
              </w:rPr>
              <w:t xml:space="preserve"> (2006). ‘</w:t>
            </w:r>
            <w:r w:rsidRPr="00CF3B26">
              <w:rPr>
                <w:rFonts w:ascii="Times New Roman" w:hAnsi="Times New Roman"/>
                <w:vanish/>
              </w:rPr>
              <w:t xml:space="preserve">Une négociation foncière introuvable ? L’exemple du Mayo-Rey dans le nord du Cameroun’, Communication présentée au </w:t>
            </w:r>
            <w:r w:rsidRPr="00CF3B26">
              <w:rPr>
                <w:rFonts w:ascii="Times New Roman" w:hAnsi="Times New Roman"/>
                <w:i/>
                <w:iCs/>
              </w:rPr>
              <w:t xml:space="preserve">Colloque international SFER “Les frontières de la question foncière”, </w:t>
            </w:r>
            <w:r w:rsidRPr="00CF3B26">
              <w:rPr>
                <w:rFonts w:ascii="Times New Roman" w:hAnsi="Times New Roman"/>
                <w:iCs/>
              </w:rPr>
              <w:t>Montpellier, France, 2006, 21 p.</w:t>
            </w:r>
          </w:p>
          <w:p w:rsidR="00CF3B26" w:rsidRPr="00CF3B26" w:rsidRDefault="00CF3B26" w:rsidP="00CF3B26">
            <w:pPr>
              <w:tabs>
                <w:tab w:val="left" w:pos="3780"/>
              </w:tabs>
              <w:spacing w:before="60" w:after="60" w:line="240" w:lineRule="auto"/>
              <w:jc w:val="both"/>
              <w:rPr>
                <w:rFonts w:ascii="Times New Roman" w:hAnsi="Times New Roman"/>
              </w:rPr>
            </w:pPr>
            <w:r w:rsidRPr="00CF3B26">
              <w:rPr>
                <w:rFonts w:ascii="Times New Roman" w:hAnsi="Times New Roman"/>
              </w:rPr>
              <w:t xml:space="preserve">Teyssier A. (2003). ‘La régulation foncière au Cameroun, entre régimes communautaires et aspirations citoyennes’. In Dugué P., Jouve Ph. (éds.), (2003). </w:t>
            </w:r>
            <w:r w:rsidRPr="00CF3B26">
              <w:rPr>
                <w:rFonts w:ascii="Times New Roman" w:hAnsi="Times New Roman"/>
                <w:i/>
              </w:rPr>
              <w:t>Organisation spatiale et gestion des ressources et des territoires ruraux. Actes du colloque international, 25-27 février 2003</w:t>
            </w:r>
            <w:r w:rsidRPr="00CF3B26">
              <w:rPr>
                <w:rFonts w:ascii="Times New Roman" w:hAnsi="Times New Roman"/>
              </w:rPr>
              <w:t>, Montpellier, France. Umr Sagert, Cnearc, 9 p.</w:t>
            </w:r>
          </w:p>
          <w:p w:rsidR="00CF3B26" w:rsidRPr="00CF3B26" w:rsidRDefault="00CF3B26" w:rsidP="00CF3B26">
            <w:pPr>
              <w:tabs>
                <w:tab w:val="left" w:pos="3780"/>
              </w:tabs>
              <w:spacing w:before="60" w:after="60" w:line="240" w:lineRule="auto"/>
              <w:jc w:val="both"/>
            </w:pPr>
            <w:r w:rsidRPr="00CF3B26">
              <w:rPr>
                <w:rFonts w:ascii="Times New Roman" w:hAnsi="Times New Roman"/>
              </w:rPr>
              <w:t xml:space="preserve">Ministère des Investissements Publics et de l’Aménagement du Territoire; Programme des Nations Unies pour le Développement (2000). </w:t>
            </w:r>
            <w:r w:rsidRPr="00CF3B26">
              <w:rPr>
                <w:rFonts w:ascii="Times New Roman" w:hAnsi="Times New Roman"/>
                <w:i/>
              </w:rPr>
              <w:t>Etudes socio-économiques régionales au Cameroun : éradication de la pauvreté –amélioration des données sociales</w:t>
            </w:r>
            <w:r w:rsidRPr="00CF3B26">
              <w:rPr>
                <w:rFonts w:ascii="Times New Roman" w:hAnsi="Times New Roman"/>
              </w:rPr>
              <w:t xml:space="preserve"> (province du Nord).</w:t>
            </w:r>
          </w:p>
        </w:tc>
      </w:tr>
    </w:tbl>
    <w:p w:rsidR="001A54D5" w:rsidRPr="00FF2A2A" w:rsidRDefault="00C860B3" w:rsidP="001A54D5">
      <w:pPr>
        <w:numPr>
          <w:ilvl w:val="0"/>
          <w:numId w:val="1"/>
        </w:numPr>
        <w:spacing w:after="120" w:line="360" w:lineRule="auto"/>
        <w:jc w:val="both"/>
        <w:rPr>
          <w:rFonts w:ascii="Times New Roman" w:hAnsi="Times New Roman"/>
          <w:b/>
          <w:i/>
          <w:sz w:val="24"/>
          <w:szCs w:val="24"/>
        </w:rPr>
      </w:pPr>
      <w:r>
        <w:rPr>
          <w:rFonts w:ascii="Times New Roman" w:hAnsi="Times New Roman"/>
          <w:b/>
          <w:i/>
          <w:sz w:val="24"/>
          <w:szCs w:val="24"/>
        </w:rPr>
        <w:t>10 janvier 2013</w:t>
      </w:r>
      <w:r>
        <w:rPr>
          <w:rFonts w:ascii="Times New Roman" w:hAnsi="Times New Roman"/>
          <w:b/>
          <w:i/>
          <w:sz w:val="24"/>
          <w:szCs w:val="24"/>
        </w:rPr>
        <w:fldChar w:fldCharType="begin"/>
      </w:r>
      <w:r>
        <w:rPr>
          <w:rFonts w:ascii="Times New Roman" w:hAnsi="Times New Roman"/>
          <w:b/>
          <w:i/>
          <w:sz w:val="24"/>
          <w:szCs w:val="24"/>
        </w:rPr>
        <w:instrText xml:space="preserve"> TIME \@ "dd/MM/yyyy" </w:instrText>
      </w:r>
      <w:r>
        <w:rPr>
          <w:rFonts w:ascii="Times New Roman" w:hAnsi="Times New Roman"/>
          <w:b/>
          <w:i/>
          <w:sz w:val="24"/>
          <w:szCs w:val="24"/>
        </w:rPr>
        <w:fldChar w:fldCharType="separate"/>
      </w:r>
      <w:r w:rsidR="003D5B40">
        <w:rPr>
          <w:rFonts w:ascii="Times New Roman" w:hAnsi="Times New Roman"/>
          <w:b/>
          <w:i/>
          <w:noProof/>
          <w:sz w:val="24"/>
          <w:szCs w:val="24"/>
        </w:rPr>
        <w:t>10/01/2013</w:t>
      </w:r>
      <w:r>
        <w:rPr>
          <w:rFonts w:ascii="Times New Roman" w:hAnsi="Times New Roman"/>
          <w:b/>
          <w:i/>
          <w:sz w:val="24"/>
          <w:szCs w:val="24"/>
        </w:rPr>
        <w:fldChar w:fldCharType="end"/>
      </w:r>
      <w:r w:rsidR="001A54D5" w:rsidRPr="00FF2A2A">
        <w:rPr>
          <w:rFonts w:ascii="Times New Roman" w:hAnsi="Times New Roman"/>
          <w:b/>
          <w:i/>
          <w:sz w:val="24"/>
          <w:szCs w:val="24"/>
        </w:rPr>
        <w:t xml:space="preserve">Impact sur </w:t>
      </w:r>
      <w:r w:rsidR="001A54D5">
        <w:rPr>
          <w:rFonts w:ascii="Times New Roman" w:hAnsi="Times New Roman"/>
          <w:b/>
          <w:i/>
          <w:sz w:val="24"/>
          <w:szCs w:val="24"/>
        </w:rPr>
        <w:t>le capital naturel</w:t>
      </w:r>
    </w:p>
    <w:p w:rsidR="001A54D5" w:rsidRDefault="0041394A" w:rsidP="00DA4AC5">
      <w:pPr>
        <w:spacing w:after="120" w:line="360" w:lineRule="auto"/>
        <w:jc w:val="both"/>
        <w:rPr>
          <w:rFonts w:ascii="Times New Roman" w:hAnsi="Times New Roman"/>
          <w:sz w:val="24"/>
          <w:szCs w:val="24"/>
        </w:rPr>
      </w:pPr>
      <w:r>
        <w:rPr>
          <w:rFonts w:ascii="Times New Roman" w:hAnsi="Times New Roman"/>
          <w:sz w:val="24"/>
          <w:szCs w:val="24"/>
        </w:rPr>
        <w:t xml:space="preserve">Dans ce deuxième cas, </w:t>
      </w:r>
      <w:r w:rsidR="006169A7">
        <w:rPr>
          <w:rFonts w:ascii="Times New Roman" w:hAnsi="Times New Roman"/>
          <w:sz w:val="24"/>
          <w:szCs w:val="24"/>
        </w:rPr>
        <w:t xml:space="preserve">l’insécurité foncière est davantage liée au contrôle des terres agricoles par les autorités traditionnelles et certains membres de l’élite politique et économique. </w:t>
      </w:r>
      <w:r w:rsidR="00B05B0E">
        <w:rPr>
          <w:rFonts w:ascii="Times New Roman" w:hAnsi="Times New Roman"/>
          <w:sz w:val="24"/>
          <w:szCs w:val="24"/>
        </w:rPr>
        <w:t xml:space="preserve">La précarité des petits agriculteurs s’apprécie à travers la prolifération des contrats </w:t>
      </w:r>
      <w:r w:rsidR="005C5E6A">
        <w:rPr>
          <w:rFonts w:ascii="Times New Roman" w:hAnsi="Times New Roman"/>
          <w:sz w:val="24"/>
          <w:szCs w:val="24"/>
        </w:rPr>
        <w:t xml:space="preserve">annuels </w:t>
      </w:r>
      <w:r w:rsidR="00B05B0E">
        <w:rPr>
          <w:rFonts w:ascii="Times New Roman" w:hAnsi="Times New Roman"/>
          <w:sz w:val="24"/>
          <w:szCs w:val="24"/>
        </w:rPr>
        <w:t>de location de</w:t>
      </w:r>
      <w:r w:rsidR="003F7661">
        <w:rPr>
          <w:rFonts w:ascii="Times New Roman" w:hAnsi="Times New Roman"/>
          <w:sz w:val="24"/>
          <w:szCs w:val="24"/>
        </w:rPr>
        <w:t>s</w:t>
      </w:r>
      <w:r w:rsidR="00B05B0E">
        <w:rPr>
          <w:rFonts w:ascii="Times New Roman" w:hAnsi="Times New Roman"/>
          <w:sz w:val="24"/>
          <w:szCs w:val="24"/>
        </w:rPr>
        <w:t xml:space="preserve"> terre</w:t>
      </w:r>
      <w:r w:rsidR="003F7661">
        <w:rPr>
          <w:rFonts w:ascii="Times New Roman" w:hAnsi="Times New Roman"/>
          <w:sz w:val="24"/>
          <w:szCs w:val="24"/>
        </w:rPr>
        <w:t>s</w:t>
      </w:r>
      <w:r w:rsidR="005C5E6A">
        <w:rPr>
          <w:rFonts w:ascii="Times New Roman" w:hAnsi="Times New Roman"/>
          <w:sz w:val="24"/>
          <w:szCs w:val="24"/>
        </w:rPr>
        <w:t xml:space="preserve"> (05-1 ha)</w:t>
      </w:r>
      <w:r w:rsidR="00B05B0E">
        <w:rPr>
          <w:rFonts w:ascii="Times New Roman" w:hAnsi="Times New Roman"/>
          <w:sz w:val="24"/>
          <w:szCs w:val="24"/>
        </w:rPr>
        <w:t xml:space="preserve">. </w:t>
      </w:r>
      <w:r w:rsidR="003F7661">
        <w:rPr>
          <w:rFonts w:ascii="Times New Roman" w:hAnsi="Times New Roman"/>
          <w:sz w:val="24"/>
          <w:szCs w:val="24"/>
        </w:rPr>
        <w:t>Dans ce contexte, l</w:t>
      </w:r>
      <w:r w:rsidR="00957857">
        <w:rPr>
          <w:rFonts w:ascii="Times New Roman" w:hAnsi="Times New Roman"/>
          <w:sz w:val="24"/>
          <w:szCs w:val="24"/>
        </w:rPr>
        <w:t xml:space="preserve">es projets de restauration de la fertilité et de protection des sols contre l’action de l’érosion, </w:t>
      </w:r>
      <w:r w:rsidR="003F7661">
        <w:rPr>
          <w:rFonts w:ascii="Times New Roman" w:hAnsi="Times New Roman"/>
          <w:sz w:val="24"/>
          <w:szCs w:val="24"/>
        </w:rPr>
        <w:t>introduits</w:t>
      </w:r>
      <w:r w:rsidR="00957857">
        <w:rPr>
          <w:rFonts w:ascii="Times New Roman" w:hAnsi="Times New Roman"/>
          <w:sz w:val="24"/>
          <w:szCs w:val="24"/>
        </w:rPr>
        <w:t xml:space="preserve"> dans plusieurs régions à écologie fragile, connaissent une faible adhésion des populations</w:t>
      </w:r>
      <w:r w:rsidR="00B7325B">
        <w:rPr>
          <w:rFonts w:ascii="Times New Roman" w:hAnsi="Times New Roman"/>
          <w:sz w:val="24"/>
          <w:szCs w:val="24"/>
        </w:rPr>
        <w:t xml:space="preserve"> </w:t>
      </w:r>
      <w:r w:rsidR="00B7325B" w:rsidRPr="006F104B">
        <w:rPr>
          <w:rFonts w:ascii="Times New Roman" w:hAnsi="Times New Roman"/>
          <w:sz w:val="24"/>
          <w:szCs w:val="24"/>
        </w:rPr>
        <w:t xml:space="preserve">(c’est le cas </w:t>
      </w:r>
      <w:r w:rsidR="006F104B" w:rsidRPr="006F104B">
        <w:rPr>
          <w:rFonts w:ascii="Times New Roman" w:hAnsi="Times New Roman"/>
          <w:sz w:val="24"/>
          <w:szCs w:val="24"/>
        </w:rPr>
        <w:t>de l’opération</w:t>
      </w:r>
      <w:r w:rsidR="00B7325B" w:rsidRPr="006F104B">
        <w:rPr>
          <w:rFonts w:ascii="Times New Roman" w:hAnsi="Times New Roman"/>
          <w:sz w:val="24"/>
          <w:szCs w:val="24"/>
        </w:rPr>
        <w:t xml:space="preserve"> </w:t>
      </w:r>
      <w:r w:rsidR="00B7325B" w:rsidRPr="006F104B">
        <w:rPr>
          <w:rFonts w:ascii="Times New Roman" w:hAnsi="Times New Roman"/>
          <w:i/>
          <w:sz w:val="24"/>
          <w:szCs w:val="24"/>
        </w:rPr>
        <w:t>Faidherbia albida</w:t>
      </w:r>
      <w:r w:rsidR="00B7325B" w:rsidRPr="006F104B">
        <w:rPr>
          <w:rFonts w:ascii="Times New Roman" w:hAnsi="Times New Roman"/>
          <w:sz w:val="24"/>
          <w:szCs w:val="24"/>
        </w:rPr>
        <w:t xml:space="preserve"> </w:t>
      </w:r>
      <w:r w:rsidR="00B05B0E">
        <w:rPr>
          <w:rFonts w:ascii="Times New Roman" w:hAnsi="Times New Roman"/>
          <w:sz w:val="24"/>
          <w:szCs w:val="24"/>
        </w:rPr>
        <w:t xml:space="preserve">introduite </w:t>
      </w:r>
      <w:r w:rsidR="00B7325B" w:rsidRPr="006F104B">
        <w:rPr>
          <w:rFonts w:ascii="Times New Roman" w:hAnsi="Times New Roman"/>
          <w:sz w:val="24"/>
          <w:szCs w:val="24"/>
        </w:rPr>
        <w:t>dans la zone s</w:t>
      </w:r>
      <w:r w:rsidR="00B7325B">
        <w:rPr>
          <w:rFonts w:ascii="Times New Roman" w:hAnsi="Times New Roman"/>
          <w:sz w:val="24"/>
          <w:szCs w:val="24"/>
        </w:rPr>
        <w:t>oudano-sahélienne du Cameroun</w:t>
      </w:r>
      <w:r w:rsidR="00B05B0E">
        <w:rPr>
          <w:rFonts w:ascii="Times New Roman" w:hAnsi="Times New Roman"/>
          <w:sz w:val="24"/>
          <w:szCs w:val="24"/>
        </w:rPr>
        <w:t xml:space="preserve"> en 1996</w:t>
      </w:r>
      <w:r w:rsidR="00B7325B">
        <w:rPr>
          <w:rFonts w:ascii="Times New Roman" w:hAnsi="Times New Roman"/>
          <w:sz w:val="24"/>
          <w:szCs w:val="24"/>
        </w:rPr>
        <w:t>)</w:t>
      </w:r>
      <w:r w:rsidR="00957857">
        <w:rPr>
          <w:rFonts w:ascii="Times New Roman" w:hAnsi="Times New Roman"/>
          <w:sz w:val="24"/>
          <w:szCs w:val="24"/>
        </w:rPr>
        <w:t xml:space="preserve">. </w:t>
      </w:r>
      <w:r w:rsidR="003F7661">
        <w:rPr>
          <w:rFonts w:ascii="Times New Roman" w:hAnsi="Times New Roman"/>
          <w:sz w:val="24"/>
          <w:szCs w:val="24"/>
        </w:rPr>
        <w:t>La plantation d’</w:t>
      </w:r>
      <w:r w:rsidR="00E20CAA">
        <w:rPr>
          <w:rFonts w:ascii="Times New Roman" w:hAnsi="Times New Roman"/>
          <w:sz w:val="24"/>
          <w:szCs w:val="24"/>
        </w:rPr>
        <w:t>arbres</w:t>
      </w:r>
      <w:r w:rsidR="00137FE8">
        <w:rPr>
          <w:rFonts w:ascii="Times New Roman" w:hAnsi="Times New Roman"/>
          <w:sz w:val="24"/>
          <w:szCs w:val="24"/>
        </w:rPr>
        <w:t>, forme de marquage de l’espace,</w:t>
      </w:r>
      <w:r w:rsidR="00E20CAA">
        <w:rPr>
          <w:rFonts w:ascii="Times New Roman" w:hAnsi="Times New Roman"/>
          <w:sz w:val="24"/>
          <w:szCs w:val="24"/>
        </w:rPr>
        <w:t xml:space="preserve"> ou l’aménagement </w:t>
      </w:r>
      <w:r w:rsidR="00137FE8">
        <w:rPr>
          <w:rFonts w:ascii="Times New Roman" w:hAnsi="Times New Roman"/>
          <w:sz w:val="24"/>
          <w:szCs w:val="24"/>
        </w:rPr>
        <w:t>des cord</w:t>
      </w:r>
      <w:r w:rsidR="003F7661">
        <w:rPr>
          <w:rFonts w:ascii="Times New Roman" w:hAnsi="Times New Roman"/>
          <w:sz w:val="24"/>
          <w:szCs w:val="24"/>
        </w:rPr>
        <w:t xml:space="preserve">ons pierreux </w:t>
      </w:r>
      <w:r w:rsidR="00E20CAA">
        <w:rPr>
          <w:rFonts w:ascii="Times New Roman" w:hAnsi="Times New Roman"/>
          <w:sz w:val="24"/>
          <w:szCs w:val="24"/>
        </w:rPr>
        <w:t xml:space="preserve">antiérosifs </w:t>
      </w:r>
      <w:r w:rsidR="00137FE8">
        <w:rPr>
          <w:rFonts w:ascii="Times New Roman" w:hAnsi="Times New Roman"/>
          <w:sz w:val="24"/>
          <w:szCs w:val="24"/>
        </w:rPr>
        <w:t>étant</w:t>
      </w:r>
      <w:r w:rsidR="003F7661">
        <w:rPr>
          <w:rFonts w:ascii="Times New Roman" w:hAnsi="Times New Roman"/>
          <w:sz w:val="24"/>
          <w:szCs w:val="24"/>
        </w:rPr>
        <w:t xml:space="preserve"> considérés comme une forme d’appropriation d</w:t>
      </w:r>
      <w:r w:rsidR="00137FE8">
        <w:rPr>
          <w:rFonts w:ascii="Times New Roman" w:hAnsi="Times New Roman"/>
          <w:sz w:val="24"/>
          <w:szCs w:val="24"/>
        </w:rPr>
        <w:t>u territoire</w:t>
      </w:r>
      <w:r w:rsidR="00E20CAA">
        <w:rPr>
          <w:rFonts w:ascii="Times New Roman" w:hAnsi="Times New Roman"/>
          <w:sz w:val="24"/>
          <w:szCs w:val="24"/>
        </w:rPr>
        <w:t xml:space="preserve"> par l’exploitant</w:t>
      </w:r>
      <w:r w:rsidR="00137FE8">
        <w:rPr>
          <w:rFonts w:ascii="Times New Roman" w:hAnsi="Times New Roman"/>
          <w:sz w:val="24"/>
          <w:szCs w:val="24"/>
        </w:rPr>
        <w:t>, conduisent assez souvent à une rupture unilatérale du contrat de location</w:t>
      </w:r>
      <w:r w:rsidR="00E20CAA">
        <w:rPr>
          <w:rFonts w:ascii="Times New Roman" w:hAnsi="Times New Roman"/>
          <w:sz w:val="24"/>
          <w:szCs w:val="24"/>
        </w:rPr>
        <w:t>.</w:t>
      </w:r>
    </w:p>
    <w:p w:rsidR="004F287C" w:rsidRDefault="004F287C" w:rsidP="00DA4AC5">
      <w:pPr>
        <w:spacing w:after="120" w:line="360" w:lineRule="auto"/>
        <w:jc w:val="both"/>
        <w:rPr>
          <w:rFonts w:ascii="Times New Roman" w:hAnsi="Times New Roman"/>
          <w:sz w:val="24"/>
          <w:szCs w:val="24"/>
        </w:rPr>
      </w:pPr>
      <w:r>
        <w:rPr>
          <w:rFonts w:ascii="Times New Roman" w:hAnsi="Times New Roman"/>
          <w:sz w:val="24"/>
          <w:szCs w:val="24"/>
        </w:rPr>
        <w:t>En définitive, la mise en exergue de l’insécurité foncière comme une contrainte majeure viendrait renforcer le développement qui est fait sur la question foncière en général (page 52), de même qu’elle justifie de façon pertinente la recommandation sur la question (figure 19 de la page 69).</w:t>
      </w:r>
    </w:p>
    <w:p w:rsidR="002D3760" w:rsidRPr="002D3760" w:rsidRDefault="00AF7CB5" w:rsidP="00AE530E">
      <w:pPr>
        <w:numPr>
          <w:ilvl w:val="0"/>
          <w:numId w:val="2"/>
        </w:numPr>
        <w:spacing w:before="240" w:after="120" w:line="240" w:lineRule="auto"/>
        <w:ind w:left="1066" w:hanging="357"/>
        <w:jc w:val="both"/>
        <w:rPr>
          <w:rFonts w:ascii="Times New Roman" w:hAnsi="Times New Roman"/>
          <w:b/>
          <w:i/>
          <w:sz w:val="24"/>
          <w:szCs w:val="24"/>
        </w:rPr>
      </w:pPr>
      <w:r>
        <w:rPr>
          <w:rFonts w:ascii="Times New Roman" w:hAnsi="Times New Roman"/>
          <w:b/>
          <w:i/>
          <w:sz w:val="24"/>
          <w:szCs w:val="24"/>
        </w:rPr>
        <w:t>Recommandations</w:t>
      </w:r>
    </w:p>
    <w:p w:rsidR="002D3760" w:rsidRPr="000D3F71" w:rsidRDefault="004F287C" w:rsidP="00DA4AC5">
      <w:pPr>
        <w:spacing w:after="120" w:line="360" w:lineRule="auto"/>
        <w:jc w:val="both"/>
        <w:rPr>
          <w:rFonts w:ascii="Times New Roman" w:hAnsi="Times New Roman"/>
          <w:sz w:val="24"/>
          <w:szCs w:val="24"/>
        </w:rPr>
      </w:pPr>
      <w:r>
        <w:rPr>
          <w:rFonts w:ascii="Times New Roman" w:hAnsi="Times New Roman"/>
          <w:sz w:val="24"/>
          <w:szCs w:val="24"/>
        </w:rPr>
        <w:t>A mon sens, le projet inclut dans l’ensemble suffisamment d’information à un niveau adéquat pour appuyer les messages politiques.</w:t>
      </w:r>
    </w:p>
    <w:sectPr w:rsidR="002D3760" w:rsidRPr="000D3F71" w:rsidSect="004C78E6">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8C1" w:rsidRPr="00A73C25" w:rsidRDefault="00E828C1" w:rsidP="00497FAD">
      <w:pPr>
        <w:spacing w:after="0" w:line="240" w:lineRule="auto"/>
        <w:rPr>
          <w:rFonts w:ascii="Times New Roman" w:eastAsia="Times New Roman" w:hAnsi="Times New Roman"/>
          <w:sz w:val="24"/>
          <w:szCs w:val="24"/>
        </w:rPr>
      </w:pPr>
      <w:r>
        <w:separator/>
      </w:r>
    </w:p>
  </w:endnote>
  <w:endnote w:type="continuationSeparator" w:id="0">
    <w:p w:rsidR="00E828C1" w:rsidRPr="00A73C25" w:rsidRDefault="00E828C1" w:rsidP="00497FAD">
      <w:pPr>
        <w:spacing w:after="0" w:line="240" w:lineRule="auto"/>
        <w:rPr>
          <w:rFonts w:ascii="Times New Roman" w:eastAsia="Times New Roman" w:hAnsi="Times New Roman"/>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8C1" w:rsidRPr="00A73C25" w:rsidRDefault="00E828C1" w:rsidP="00497FAD">
      <w:pPr>
        <w:spacing w:after="0" w:line="240" w:lineRule="auto"/>
        <w:rPr>
          <w:rFonts w:ascii="Times New Roman" w:eastAsia="Times New Roman" w:hAnsi="Times New Roman"/>
          <w:sz w:val="24"/>
          <w:szCs w:val="24"/>
        </w:rPr>
      </w:pPr>
      <w:r>
        <w:separator/>
      </w:r>
    </w:p>
  </w:footnote>
  <w:footnote w:type="continuationSeparator" w:id="0">
    <w:p w:rsidR="00E828C1" w:rsidRPr="00A73C25" w:rsidRDefault="00E828C1" w:rsidP="00497FAD">
      <w:pPr>
        <w:spacing w:after="0" w:line="240" w:lineRule="auto"/>
        <w:rPr>
          <w:rFonts w:ascii="Times New Roman" w:eastAsia="Times New Roman" w:hAnsi="Times New Roman"/>
          <w:sz w:val="24"/>
          <w:szCs w:val="24"/>
        </w:rPr>
      </w:pPr>
      <w:r>
        <w:continuationSeparator/>
      </w:r>
    </w:p>
  </w:footnote>
  <w:footnote w:id="1">
    <w:p w:rsidR="00F229CC" w:rsidRPr="00AB6C1D" w:rsidRDefault="00F229CC" w:rsidP="00F229CC">
      <w:pPr>
        <w:pStyle w:val="FootnoteText"/>
        <w:spacing w:before="0" w:line="240" w:lineRule="auto"/>
        <w:ind w:firstLine="0"/>
      </w:pPr>
      <w:r w:rsidRPr="00AB6C1D">
        <w:rPr>
          <w:rStyle w:val="FootnoteReference"/>
        </w:rPr>
        <w:footnoteRef/>
      </w:r>
      <w:r w:rsidRPr="00AB6C1D">
        <w:t xml:space="preserve"> L’Etat Camerounais a élaboré et mis en œuvre plusieurs programmes de peuplement du territoire à partir de 1974, parmi lesquels l’opération Yabassi-Bafang [sur la question lire : Barbier J.C. (1977). </w:t>
      </w:r>
      <w:r w:rsidRPr="00AB6C1D">
        <w:rPr>
          <w:i/>
        </w:rPr>
        <w:t>A propos de l’opération Yabassi-Bafang (Cameroun)</w:t>
      </w:r>
      <w:r w:rsidRPr="00AB6C1D">
        <w:t>, Paris, ORSTOM, Travaux et Documents de l’ORSTOM, Sujet de recherche n°5322 inclus dans les accords de coopération scientifique entre l’ORSTOM et l’ONAREST, 141 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FAD" w:rsidRDefault="00497FAD" w:rsidP="00497FAD">
    <w:pPr>
      <w:pStyle w:val="Header"/>
      <w:jc w:val="right"/>
    </w:pPr>
    <w:fldSimple w:instr=" PAGE   \* MERGEFORMAT ">
      <w:r w:rsidR="003D5B40">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A1E51"/>
    <w:multiLevelType w:val="hybridMultilevel"/>
    <w:tmpl w:val="9A926440"/>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3A576542"/>
    <w:multiLevelType w:val="hybridMultilevel"/>
    <w:tmpl w:val="6DFE1238"/>
    <w:lvl w:ilvl="0" w:tplc="E23CAFA8">
      <w:start w:val="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0D3F71"/>
    <w:rsid w:val="00023EC0"/>
    <w:rsid w:val="000821E9"/>
    <w:rsid w:val="000A0BED"/>
    <w:rsid w:val="000B5DF8"/>
    <w:rsid w:val="000D3F71"/>
    <w:rsid w:val="000D5C43"/>
    <w:rsid w:val="000F5D0F"/>
    <w:rsid w:val="00124B7C"/>
    <w:rsid w:val="00137FE8"/>
    <w:rsid w:val="001A54D5"/>
    <w:rsid w:val="001E6C38"/>
    <w:rsid w:val="001F5B2E"/>
    <w:rsid w:val="00225C8B"/>
    <w:rsid w:val="00265701"/>
    <w:rsid w:val="002800D2"/>
    <w:rsid w:val="00292BFE"/>
    <w:rsid w:val="002A7E6B"/>
    <w:rsid w:val="002D3760"/>
    <w:rsid w:val="002E375A"/>
    <w:rsid w:val="00320727"/>
    <w:rsid w:val="00321C76"/>
    <w:rsid w:val="00344C01"/>
    <w:rsid w:val="0039133F"/>
    <w:rsid w:val="003D0E55"/>
    <w:rsid w:val="003D31B8"/>
    <w:rsid w:val="003D5B40"/>
    <w:rsid w:val="003F7661"/>
    <w:rsid w:val="0041394A"/>
    <w:rsid w:val="004258F3"/>
    <w:rsid w:val="00462EC1"/>
    <w:rsid w:val="00487852"/>
    <w:rsid w:val="004913C3"/>
    <w:rsid w:val="00497FAD"/>
    <w:rsid w:val="004C13C5"/>
    <w:rsid w:val="004C78E6"/>
    <w:rsid w:val="004F287C"/>
    <w:rsid w:val="004F6059"/>
    <w:rsid w:val="005063FD"/>
    <w:rsid w:val="00521017"/>
    <w:rsid w:val="00536BE6"/>
    <w:rsid w:val="00574330"/>
    <w:rsid w:val="005C5E6A"/>
    <w:rsid w:val="006169A7"/>
    <w:rsid w:val="006516FA"/>
    <w:rsid w:val="00662CFD"/>
    <w:rsid w:val="006826C9"/>
    <w:rsid w:val="006F104B"/>
    <w:rsid w:val="007E7EE5"/>
    <w:rsid w:val="008C272A"/>
    <w:rsid w:val="00926219"/>
    <w:rsid w:val="00957857"/>
    <w:rsid w:val="00993BA3"/>
    <w:rsid w:val="00A727D5"/>
    <w:rsid w:val="00AB4A93"/>
    <w:rsid w:val="00AE530E"/>
    <w:rsid w:val="00AF7CB5"/>
    <w:rsid w:val="00B05B0E"/>
    <w:rsid w:val="00B7325B"/>
    <w:rsid w:val="00B777C9"/>
    <w:rsid w:val="00B948C0"/>
    <w:rsid w:val="00B96D81"/>
    <w:rsid w:val="00BA0AC4"/>
    <w:rsid w:val="00BC39DD"/>
    <w:rsid w:val="00BE3EDE"/>
    <w:rsid w:val="00C51728"/>
    <w:rsid w:val="00C860B3"/>
    <w:rsid w:val="00C87A67"/>
    <w:rsid w:val="00C96303"/>
    <w:rsid w:val="00CE027E"/>
    <w:rsid w:val="00CF3B26"/>
    <w:rsid w:val="00D32EB4"/>
    <w:rsid w:val="00D67FE8"/>
    <w:rsid w:val="00D87BC1"/>
    <w:rsid w:val="00DA4AC5"/>
    <w:rsid w:val="00E1453D"/>
    <w:rsid w:val="00E20CAA"/>
    <w:rsid w:val="00E42136"/>
    <w:rsid w:val="00E71705"/>
    <w:rsid w:val="00E828C1"/>
    <w:rsid w:val="00EF707D"/>
    <w:rsid w:val="00F032D5"/>
    <w:rsid w:val="00F229CC"/>
    <w:rsid w:val="00F42552"/>
    <w:rsid w:val="00F461F3"/>
    <w:rsid w:val="00F70D90"/>
    <w:rsid w:val="00F71F13"/>
    <w:rsid w:val="00FC4AE3"/>
    <w:rsid w:val="00FF1DD2"/>
    <w:rsid w:val="00FF2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8E6"/>
    <w:pPr>
      <w:spacing w:after="200" w:line="276" w:lineRule="auto"/>
    </w:pPr>
    <w:rPr>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F71"/>
    <w:rPr>
      <w:color w:val="0000FF"/>
      <w:u w:val="single"/>
    </w:rPr>
  </w:style>
  <w:style w:type="paragraph" w:styleId="Header">
    <w:name w:val="header"/>
    <w:basedOn w:val="Normal"/>
    <w:link w:val="HeaderChar"/>
    <w:uiPriority w:val="99"/>
    <w:unhideWhenUsed/>
    <w:rsid w:val="00497FAD"/>
    <w:pPr>
      <w:tabs>
        <w:tab w:val="center" w:pos="4536"/>
        <w:tab w:val="right" w:pos="9072"/>
      </w:tabs>
    </w:pPr>
  </w:style>
  <w:style w:type="character" w:customStyle="1" w:styleId="HeaderChar">
    <w:name w:val="Header Char"/>
    <w:basedOn w:val="DefaultParagraphFont"/>
    <w:link w:val="Header"/>
    <w:uiPriority w:val="99"/>
    <w:rsid w:val="00497FAD"/>
    <w:rPr>
      <w:sz w:val="22"/>
      <w:szCs w:val="22"/>
      <w:lang w:eastAsia="en-US"/>
    </w:rPr>
  </w:style>
  <w:style w:type="paragraph" w:styleId="Footer">
    <w:name w:val="footer"/>
    <w:basedOn w:val="Normal"/>
    <w:link w:val="FooterChar"/>
    <w:uiPriority w:val="99"/>
    <w:semiHidden/>
    <w:unhideWhenUsed/>
    <w:rsid w:val="00497FAD"/>
    <w:pPr>
      <w:tabs>
        <w:tab w:val="center" w:pos="4536"/>
        <w:tab w:val="right" w:pos="9072"/>
      </w:tabs>
    </w:pPr>
  </w:style>
  <w:style w:type="character" w:customStyle="1" w:styleId="FooterChar">
    <w:name w:val="Footer Char"/>
    <w:basedOn w:val="DefaultParagraphFont"/>
    <w:link w:val="Footer"/>
    <w:uiPriority w:val="99"/>
    <w:semiHidden/>
    <w:rsid w:val="00497FAD"/>
    <w:rPr>
      <w:sz w:val="22"/>
      <w:szCs w:val="22"/>
      <w:lang w:eastAsia="en-US"/>
    </w:rPr>
  </w:style>
  <w:style w:type="table" w:styleId="TableGrid">
    <w:name w:val="Table Grid"/>
    <w:basedOn w:val="TableNormal"/>
    <w:uiPriority w:val="59"/>
    <w:rsid w:val="00FF1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F229CC"/>
    <w:pPr>
      <w:spacing w:before="120" w:after="120" w:line="360" w:lineRule="auto"/>
      <w:ind w:firstLine="709"/>
      <w:jc w:val="both"/>
    </w:pPr>
    <w:rPr>
      <w:rFonts w:ascii="Times New Roman" w:eastAsia="Times New Roman" w:hAnsi="Times New Roman"/>
      <w:sz w:val="20"/>
      <w:szCs w:val="20"/>
      <w:lang w:eastAsia="fr-FR"/>
    </w:rPr>
  </w:style>
  <w:style w:type="character" w:customStyle="1" w:styleId="FootnoteTextChar">
    <w:name w:val="Footnote Text Char"/>
    <w:basedOn w:val="DefaultParagraphFont"/>
    <w:link w:val="FootnoteText"/>
    <w:uiPriority w:val="99"/>
    <w:semiHidden/>
    <w:rsid w:val="00F229CC"/>
    <w:rPr>
      <w:rFonts w:ascii="Times New Roman" w:eastAsia="Times New Roman" w:hAnsi="Times New Roman"/>
    </w:rPr>
  </w:style>
  <w:style w:type="character" w:styleId="FootnoteReference">
    <w:name w:val="footnote reference"/>
    <w:basedOn w:val="DefaultParagraphFont"/>
    <w:uiPriority w:val="99"/>
    <w:semiHidden/>
    <w:rsid w:val="00F229CC"/>
    <w:rPr>
      <w:vertAlign w:val="superscript"/>
    </w:rPr>
  </w:style>
  <w:style w:type="paragraph" w:styleId="Caption">
    <w:name w:val="caption"/>
    <w:basedOn w:val="Normal"/>
    <w:next w:val="Normal"/>
    <w:qFormat/>
    <w:rsid w:val="00023EC0"/>
    <w:pPr>
      <w:spacing w:before="120" w:after="120" w:line="360" w:lineRule="auto"/>
      <w:ind w:firstLine="709"/>
      <w:jc w:val="both"/>
    </w:pPr>
    <w:rPr>
      <w:rFonts w:ascii="Times New Roman" w:eastAsia="Times New Roman" w:hAnsi="Times New Roman"/>
      <w:b/>
      <w:bCs/>
      <w:sz w:val="20"/>
      <w:szCs w:val="20"/>
      <w:lang w:eastAsia="fr-FR"/>
    </w:rPr>
  </w:style>
  <w:style w:type="character" w:customStyle="1" w:styleId="auteurird">
    <w:name w:val="auteurird"/>
    <w:basedOn w:val="DefaultParagraphFont"/>
    <w:rsid w:val="00CF3B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fofiri_eric@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1791</Words>
  <Characters>10209</Characters>
  <Application>Microsoft Office Word</Application>
  <DocSecurity>0</DocSecurity>
  <Lines>85</Lines>
  <Paragraphs>23</Paragraphs>
  <ScaleCrop>false</ScaleCrop>
  <HeadingPairs>
    <vt:vector size="2" baseType="variant">
      <vt:variant>
        <vt:lpstr>Titre</vt:lpstr>
      </vt:variant>
      <vt:variant>
        <vt:i4>1</vt:i4>
      </vt:variant>
    </vt:vector>
  </HeadingPairs>
  <TitlesOfParts>
    <vt:vector size="1" baseType="lpstr">
      <vt:lpstr/>
    </vt:vector>
  </TitlesOfParts>
  <Company>FAO of the UN</Company>
  <LinksUpToDate>false</LinksUpToDate>
  <CharactersWithSpaces>11977</CharactersWithSpaces>
  <SharedDoc>false</SharedDoc>
  <HLinks>
    <vt:vector size="6" baseType="variant">
      <vt:variant>
        <vt:i4>4587593</vt:i4>
      </vt:variant>
      <vt:variant>
        <vt:i4>0</vt:i4>
      </vt:variant>
      <vt:variant>
        <vt:i4>0</vt:i4>
      </vt:variant>
      <vt:variant>
        <vt:i4>5</vt:i4>
      </vt:variant>
      <vt:variant>
        <vt:lpwstr>mailto:fofiri_eric@yahoo.fr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Fofiri Eric Joël</dc:creator>
  <cp:lastModifiedBy>Mirulla</cp:lastModifiedBy>
  <cp:revision>2</cp:revision>
  <dcterms:created xsi:type="dcterms:W3CDTF">2013-01-10T09:21:00Z</dcterms:created>
  <dcterms:modified xsi:type="dcterms:W3CDTF">2013-01-10T09:21:00Z</dcterms:modified>
</cp:coreProperties>
</file>