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B6" w:rsidRPr="00FF40B6" w:rsidRDefault="00FF40B6" w:rsidP="00FF40B6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/>
          <w:b/>
          <w:bCs/>
          <w:color w:val="D2232A"/>
          <w:sz w:val="36"/>
          <w:szCs w:val="36"/>
          <w:lang w:val="es-ES_tradnl"/>
        </w:rPr>
      </w:pPr>
      <w:r w:rsidRPr="00FF40B6">
        <w:rPr>
          <w:rFonts w:ascii="Georgia" w:eastAsia="Times New Roman" w:hAnsi="Georgia"/>
          <w:b/>
          <w:bCs/>
          <w:color w:val="D2232A"/>
          <w:sz w:val="36"/>
          <w:szCs w:val="36"/>
          <w:lang w:val="es-ES_tradnl"/>
        </w:rPr>
        <w:t>Invitación a participar en una discusión abierta sobre el doc</w:t>
      </w:r>
      <w:r>
        <w:rPr>
          <w:rFonts w:ascii="Georgia" w:eastAsia="Times New Roman" w:hAnsi="Georgia"/>
          <w:b/>
          <w:bCs/>
          <w:color w:val="D2232A"/>
          <w:sz w:val="36"/>
          <w:szCs w:val="36"/>
          <w:lang w:val="es-ES_tradnl"/>
        </w:rPr>
        <w:t>umento político final de la CIN</w:t>
      </w:r>
      <w:r w:rsidRPr="00FF40B6">
        <w:rPr>
          <w:rFonts w:ascii="Georgia" w:eastAsia="Times New Roman" w:hAnsi="Georgia"/>
          <w:b/>
          <w:bCs/>
          <w:color w:val="D2232A"/>
          <w:sz w:val="36"/>
          <w:szCs w:val="36"/>
          <w:lang w:val="es-ES_tradnl"/>
        </w:rPr>
        <w:t>2</w:t>
      </w:r>
    </w:p>
    <w:p w:rsidR="00FF40B6" w:rsidRPr="00FF40B6" w:rsidRDefault="00FF40B6" w:rsidP="002317F6">
      <w:pPr>
        <w:spacing w:after="0" w:line="240" w:lineRule="auto"/>
        <w:ind w:left="450" w:right="150"/>
        <w:jc w:val="center"/>
        <w:outlineLvl w:val="2"/>
        <w:rPr>
          <w:rFonts w:ascii="Georgia" w:eastAsia="Times New Roman" w:hAnsi="Georgia"/>
          <w:b/>
          <w:bCs/>
          <w:color w:val="D2232A"/>
          <w:sz w:val="36"/>
          <w:szCs w:val="36"/>
          <w:lang w:val="es-ES_tradnl"/>
        </w:rPr>
      </w:pPr>
    </w:p>
    <w:p w:rsidR="002317F6" w:rsidRPr="00875F0D" w:rsidRDefault="00875F0D" w:rsidP="002317F6">
      <w:pPr>
        <w:jc w:val="center"/>
        <w:rPr>
          <w:rFonts w:asciiTheme="majorHAnsi" w:hAnsiTheme="majorHAnsi"/>
          <w:b/>
          <w:bCs/>
          <w:color w:val="31849B" w:themeColor="accent5" w:themeShade="BF"/>
          <w:lang w:val="es-ES_tradnl"/>
        </w:rPr>
      </w:pPr>
      <w:r w:rsidRPr="00875F0D">
        <w:rPr>
          <w:rFonts w:asciiTheme="majorHAnsi" w:hAnsiTheme="majorHAnsi"/>
          <w:b/>
          <w:bCs/>
          <w:color w:val="31849B" w:themeColor="accent5" w:themeShade="BF"/>
          <w:lang w:val="es-ES_tradnl"/>
        </w:rPr>
        <w:t>Plantilla para aportar sus comentatios</w:t>
      </w:r>
      <w:r w:rsidR="002317F6" w:rsidRPr="00875F0D">
        <w:rPr>
          <w:rFonts w:asciiTheme="majorHAnsi" w:hAnsiTheme="majorHAnsi"/>
          <w:b/>
          <w:bCs/>
          <w:color w:val="31849B" w:themeColor="accent5" w:themeShade="BF"/>
          <w:lang w:val="es-ES_tradnl"/>
        </w:rPr>
        <w:t> </w:t>
      </w:r>
    </w:p>
    <w:tbl>
      <w:tblPr>
        <w:tblStyle w:val="Tablaconcuadrcula"/>
        <w:tblW w:w="0" w:type="auto"/>
        <w:tblBorders>
          <w:top w:val="dotted" w:sz="18" w:space="0" w:color="BFBFBF" w:themeColor="background1" w:themeShade="BF"/>
          <w:left w:val="none" w:sz="0" w:space="0" w:color="auto"/>
          <w:bottom w:val="dotted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/>
      </w:tblPr>
      <w:tblGrid>
        <w:gridCol w:w="9026"/>
      </w:tblGrid>
      <w:tr w:rsidR="00026313" w:rsidRPr="00314059" w:rsidTr="002317F6">
        <w:tc>
          <w:tcPr>
            <w:tcW w:w="9026" w:type="dxa"/>
          </w:tcPr>
          <w:p w:rsidR="00FF40B6" w:rsidRPr="0092066C" w:rsidRDefault="00FF40B6" w:rsidP="00FF40B6">
            <w:pPr>
              <w:spacing w:line="360" w:lineRule="auto"/>
              <w:rPr>
                <w:rFonts w:asciiTheme="majorHAnsi" w:hAnsiTheme="majorHAnsi"/>
                <w:b/>
                <w:bCs/>
                <w:lang w:val="es-ES_tradnl"/>
              </w:rPr>
            </w:pPr>
            <w:r w:rsidRPr="0092066C">
              <w:rPr>
                <w:rFonts w:asciiTheme="majorHAnsi" w:hAnsiTheme="majorHAnsi"/>
                <w:b/>
                <w:bCs/>
                <w:lang w:val="es-ES_tradnl"/>
              </w:rPr>
              <w:t>Információn basica</w:t>
            </w:r>
            <w:r w:rsidRPr="0092066C">
              <w:rPr>
                <w:rFonts w:asciiTheme="majorHAnsi" w:hAnsiTheme="majorHAnsi"/>
                <w:b/>
                <w:bCs/>
                <w:lang w:val="es-ES_tradnl"/>
              </w:rPr>
              <w:tab/>
            </w:r>
          </w:p>
          <w:p w:rsidR="00FF40B6" w:rsidRPr="0092066C" w:rsidRDefault="00FF40B6" w:rsidP="00FF40B6">
            <w:pPr>
              <w:spacing w:line="360" w:lineRule="auto"/>
              <w:rPr>
                <w:rFonts w:asciiTheme="majorHAnsi" w:hAnsiTheme="majorHAnsi"/>
                <w:lang w:val="es-ES_tradnl"/>
              </w:rPr>
            </w:pPr>
            <w:r w:rsidRPr="0092066C">
              <w:rPr>
                <w:rFonts w:asciiTheme="majorHAnsi" w:hAnsiTheme="majorHAnsi"/>
                <w:lang w:val="es-ES_tradnl"/>
              </w:rPr>
              <w:t xml:space="preserve">Nombre, Apellidos : </w:t>
            </w:r>
            <w:r w:rsidR="00533A20">
              <w:rPr>
                <w:rFonts w:asciiTheme="majorHAnsi" w:hAnsiTheme="majorHAnsi"/>
                <w:lang w:val="es-ES_tradnl"/>
              </w:rPr>
              <w:t>Luis Alberto Rico Aranibar</w:t>
            </w:r>
          </w:p>
          <w:p w:rsidR="00FF40B6" w:rsidRPr="0092066C" w:rsidRDefault="00FF40B6" w:rsidP="00FF40B6">
            <w:pPr>
              <w:spacing w:line="360" w:lineRule="auto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Organización </w:t>
            </w:r>
            <w:r w:rsidRPr="0092066C">
              <w:rPr>
                <w:rFonts w:asciiTheme="majorHAnsi" w:hAnsiTheme="majorHAnsi"/>
                <w:lang w:val="es-ES_tradnl"/>
              </w:rPr>
              <w:t xml:space="preserve">: </w:t>
            </w:r>
            <w:r w:rsidR="00533A20">
              <w:rPr>
                <w:rFonts w:asciiTheme="majorHAnsi" w:hAnsiTheme="majorHAnsi"/>
                <w:lang w:val="es-ES_tradnl"/>
              </w:rPr>
              <w:t>FAO</w:t>
            </w:r>
          </w:p>
          <w:p w:rsidR="00FF40B6" w:rsidRDefault="00FF40B6" w:rsidP="00FF40B6">
            <w:pPr>
              <w:spacing w:line="360" w:lineRule="auto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Pais </w:t>
            </w:r>
            <w:r w:rsidRPr="0092066C">
              <w:rPr>
                <w:rFonts w:asciiTheme="majorHAnsi" w:hAnsiTheme="majorHAnsi"/>
                <w:lang w:val="es-ES_tradnl"/>
              </w:rPr>
              <w:t>:</w:t>
            </w:r>
            <w:r w:rsidR="00533A20">
              <w:rPr>
                <w:rFonts w:asciiTheme="majorHAnsi" w:hAnsiTheme="majorHAnsi"/>
                <w:lang w:val="es-ES_tradnl"/>
              </w:rPr>
              <w:t xml:space="preserve"> Bolivia</w:t>
            </w:r>
          </w:p>
          <w:p w:rsidR="00026313" w:rsidRPr="00533A20" w:rsidRDefault="00FF40B6" w:rsidP="00533A20">
            <w:pPr>
              <w:spacing w:line="360" w:lineRule="auto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_tradnl"/>
              </w:rPr>
              <w:t>Correo electrónico</w:t>
            </w:r>
            <w:r w:rsidRPr="0092066C">
              <w:rPr>
                <w:rFonts w:asciiTheme="majorHAnsi" w:hAnsiTheme="majorHAnsi"/>
                <w:lang w:val="es-ES_tradnl"/>
              </w:rPr>
              <w:t xml:space="preserve">: </w:t>
            </w:r>
            <w:r w:rsidR="00533A20">
              <w:rPr>
                <w:rFonts w:asciiTheme="majorHAnsi" w:hAnsiTheme="majorHAnsi"/>
                <w:lang w:val="es-ES_tradnl"/>
              </w:rPr>
              <w:t>lrico.aranibar@</w:t>
            </w:r>
            <w:r w:rsidR="00D44838">
              <w:rPr>
                <w:rFonts w:asciiTheme="majorHAnsi" w:hAnsiTheme="majorHAnsi"/>
                <w:lang w:val="es-ES_tradnl"/>
              </w:rPr>
              <w:t>gmail.co</w:t>
            </w:r>
            <w:r w:rsidR="00533A20">
              <w:rPr>
                <w:rFonts w:asciiTheme="majorHAnsi" w:hAnsiTheme="majorHAnsi"/>
                <w:lang w:val="es-ES_tradnl"/>
              </w:rPr>
              <w:t>m</w:t>
            </w:r>
          </w:p>
        </w:tc>
      </w:tr>
      <w:tr w:rsidR="00533A20" w:rsidRPr="00314059" w:rsidTr="002317F6">
        <w:tc>
          <w:tcPr>
            <w:tcW w:w="9026" w:type="dxa"/>
          </w:tcPr>
          <w:p w:rsidR="00533A20" w:rsidRPr="00D44838" w:rsidRDefault="00533A20" w:rsidP="00FF40B6">
            <w:pPr>
              <w:spacing w:line="360" w:lineRule="auto"/>
              <w:rPr>
                <w:rFonts w:asciiTheme="majorHAnsi" w:hAnsiTheme="majorHAnsi"/>
                <w:b/>
                <w:bCs/>
                <w:lang w:val="es-ES"/>
              </w:rPr>
            </w:pPr>
          </w:p>
        </w:tc>
      </w:tr>
    </w:tbl>
    <w:p w:rsidR="00026313" w:rsidRPr="00533A20" w:rsidRDefault="00026313" w:rsidP="006B71BD">
      <w:pPr>
        <w:rPr>
          <w:rFonts w:asciiTheme="majorHAnsi" w:hAnsiTheme="majorHAnsi"/>
          <w:lang w:val="es-ES"/>
        </w:rPr>
      </w:pPr>
    </w:p>
    <w:p w:rsidR="00875F0D" w:rsidRPr="00875F0D" w:rsidRDefault="00875F0D" w:rsidP="00875F0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/>
          <w:b/>
          <w:bCs/>
          <w:color w:val="333333"/>
          <w:lang w:val="es-ES_tradnl" w:eastAsia="es-ES_tradnl"/>
        </w:rPr>
      </w:pPr>
      <w:r w:rsidRPr="00875F0D">
        <w:rPr>
          <w:rFonts w:asciiTheme="majorHAnsi" w:eastAsia="Times New Roman" w:hAnsiTheme="majorHAnsi"/>
          <w:b/>
          <w:bCs/>
          <w:color w:val="333333"/>
          <w:lang w:val="es-ES_tradnl" w:eastAsia="es-ES_tradnl"/>
        </w:rPr>
        <w:t xml:space="preserve">¿Tiene algún comentario general sobre el borrador de la declaración política y su visión (párrafos 1 a 3 del borrador cero)? </w:t>
      </w:r>
    </w:p>
    <w:p w:rsidR="00875F0D" w:rsidRDefault="00875F0D" w:rsidP="00875F0D">
      <w:pPr>
        <w:pStyle w:val="Prrafodelista"/>
        <w:shd w:val="clear" w:color="auto" w:fill="FFFFFF"/>
        <w:spacing w:after="0" w:line="240" w:lineRule="auto"/>
        <w:ind w:left="426"/>
        <w:rPr>
          <w:rFonts w:asciiTheme="majorHAnsi" w:eastAsia="Times New Roman" w:hAnsiTheme="majorHAnsi"/>
          <w:b/>
          <w:bCs/>
          <w:color w:val="333333"/>
          <w:lang w:val="es-ES_tradnl" w:eastAsia="es-ES_tradnl"/>
        </w:rPr>
      </w:pPr>
    </w:p>
    <w:p w:rsidR="00875F0D" w:rsidRPr="00533A20" w:rsidRDefault="00533A20" w:rsidP="00533A20">
      <w:pPr>
        <w:pStyle w:val="Prrafodelista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/>
          <w:bCs/>
          <w:color w:val="333333"/>
          <w:lang w:val="es-ES_tradnl" w:eastAsia="es-ES_tradnl"/>
        </w:rPr>
      </w:pP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Reconocemos que las causas de la malnutrición son complejas y multidimensionales, y la disponibilidad de alimentos, su asequibilidad y su accesibilidad son factores determinantes. La evolución de los sistemas </w:t>
      </w:r>
      <w:r w:rsidR="00311EFD"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>agro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alimentarios </w:t>
      </w:r>
      <w:r w:rsidRPr="00311EFD">
        <w:rPr>
          <w:rFonts w:asciiTheme="majorHAnsi" w:eastAsia="Times New Roman" w:hAnsiTheme="majorHAnsi"/>
          <w:bCs/>
          <w:strike/>
          <w:color w:val="333333"/>
          <w:lang w:val="es-ES_tradnl" w:eastAsia="es-ES_tradnl"/>
        </w:rPr>
        <w:t>(y agrícolas)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―innovaciones en la producción, elaboración, almacenamiento y distribución― ha conducido a una mayor diversidad de la alimentación ―un mayor consumo de frutas y hortalizas, así como de carne y productos lácteos― en los países en desarrollo, aunque los beneficios han sido desiguales. El consumo de alimentos elaborados, azúcares y grasas, especialmente grasas saturadas y grasas trans, así como de sal, también ha aumentado en todo el mundo, lo que </w:t>
      </w:r>
      <w:r w:rsidR="00311EFD"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>incrementa</w:t>
      </w:r>
      <w:r w:rsid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311EFD">
        <w:rPr>
          <w:rFonts w:asciiTheme="majorHAnsi" w:eastAsia="Times New Roman" w:hAnsiTheme="majorHAnsi"/>
          <w:bCs/>
          <w:strike/>
          <w:color w:val="333333"/>
          <w:lang w:val="es-ES_tradnl" w:eastAsia="es-ES_tradnl"/>
        </w:rPr>
        <w:t>alimenta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la epidemia mundial de enfermedades </w:t>
      </w:r>
      <w:r w:rsidR="00311EFD"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>crónicas</w:t>
      </w:r>
      <w:r w:rsid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>no transmisibles. El sistema</w:t>
      </w:r>
      <w:r w:rsid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="00311EFD"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>agro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alimentario todavía no es capaz de proporcionar alimentos inocuos y nutritivos para todos y cada vez hay más problemas para lograrlo, en vista de las limitaciones </w:t>
      </w:r>
      <w:r w:rsidR="00311EFD"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>en</w:t>
      </w:r>
      <w:r w:rsid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="00311EFD" w:rsidRPr="00311EFD">
        <w:rPr>
          <w:rFonts w:asciiTheme="majorHAnsi" w:eastAsia="Times New Roman" w:hAnsiTheme="majorHAnsi"/>
          <w:bCs/>
          <w:strike/>
          <w:color w:val="333333"/>
          <w:lang w:val="es-ES_tradnl" w:eastAsia="es-ES_tradnl"/>
        </w:rPr>
        <w:t>a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la producción de alimentos derivadas de la </w:t>
      </w:r>
      <w:r w:rsidR="00311EFD"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>sobreexplotación</w:t>
      </w:r>
      <w:r w:rsid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de </w:t>
      </w:r>
      <w:r w:rsidRPr="00311EFD">
        <w:rPr>
          <w:rFonts w:asciiTheme="majorHAnsi" w:eastAsia="Times New Roman" w:hAnsiTheme="majorHAnsi"/>
          <w:bCs/>
          <w:strike/>
          <w:color w:val="333333"/>
          <w:lang w:val="es-ES_tradnl" w:eastAsia="es-ES_tradnl"/>
        </w:rPr>
        <w:t>preocupación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311EFD">
        <w:rPr>
          <w:rFonts w:asciiTheme="majorHAnsi" w:eastAsia="Times New Roman" w:hAnsiTheme="majorHAnsi"/>
          <w:bCs/>
          <w:strike/>
          <w:color w:val="333333"/>
          <w:lang w:val="es-ES_tradnl" w:eastAsia="es-ES_tradnl"/>
        </w:rPr>
        <w:t>por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los recursos </w:t>
      </w:r>
      <w:r w:rsidR="00311EFD"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>naturales</w:t>
      </w:r>
      <w:r w:rsid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 xml:space="preserve"> (suelo, agua y vegetación)</w:t>
      </w:r>
      <w:r w:rsidR="00311EFD"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 xml:space="preserve"> </w:t>
      </w:r>
      <w:r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>y</w:t>
      </w:r>
      <w:r w:rsidR="00311EFD" w:rsidRPr="00311EFD">
        <w:rPr>
          <w:rFonts w:asciiTheme="majorHAnsi" w:eastAsia="Times New Roman" w:hAnsiTheme="majorHAnsi"/>
          <w:bCs/>
          <w:color w:val="FF0000"/>
          <w:lang w:val="es-ES_tradnl" w:eastAsia="es-ES_tradnl"/>
        </w:rPr>
        <w:t xml:space="preserve"> la preocupación</w:t>
      </w:r>
      <w:r w:rsid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por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la sostenibilidad ecológica y especialmente por el cambio climático. </w:t>
      </w:r>
      <w:r w:rsidRPr="00533A20">
        <w:rPr>
          <w:rFonts w:asciiTheme="majorHAnsi" w:eastAsia="Times New Roman" w:hAnsiTheme="majorHAnsi"/>
          <w:bCs/>
          <w:color w:val="333333"/>
          <w:lang w:val="es-ES_tradnl" w:eastAsia="es-ES_tradnl"/>
        </w:rPr>
        <w:cr/>
      </w:r>
    </w:p>
    <w:p w:rsidR="00875F0D" w:rsidRPr="00875F0D" w:rsidRDefault="00875F0D" w:rsidP="00875F0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/>
          <w:b/>
          <w:bCs/>
          <w:color w:val="333333"/>
          <w:lang w:val="es-ES_tradnl" w:eastAsia="es-ES_tradnl"/>
        </w:rPr>
      </w:pPr>
      <w:r w:rsidRPr="00875F0D">
        <w:rPr>
          <w:rFonts w:asciiTheme="majorHAnsi" w:eastAsia="Times New Roman" w:hAnsiTheme="majorHAnsi"/>
          <w:b/>
          <w:bCs/>
          <w:color w:val="333333"/>
          <w:lang w:val="es-ES_tradnl" w:eastAsia="es-ES_tradnl"/>
        </w:rPr>
        <w:t xml:space="preserve">¿Tiene algún comentario sobre los antecedentes y el análisis proporcionados en la declaración política (párrafos 4 a 20 del borrador cero)? </w:t>
      </w:r>
    </w:p>
    <w:p w:rsidR="00875F0D" w:rsidRDefault="00875F0D" w:rsidP="00875F0D">
      <w:pPr>
        <w:pStyle w:val="Prrafodelista"/>
        <w:shd w:val="clear" w:color="auto" w:fill="FFFFFF"/>
        <w:spacing w:after="0" w:line="240" w:lineRule="auto"/>
        <w:ind w:left="426"/>
        <w:rPr>
          <w:rFonts w:asciiTheme="majorHAnsi" w:eastAsia="Times New Roman" w:hAnsiTheme="majorHAnsi"/>
          <w:b/>
          <w:bCs/>
          <w:color w:val="333333"/>
          <w:lang w:val="es-ES_tradnl" w:eastAsia="es-ES_tradnl"/>
        </w:rPr>
      </w:pPr>
    </w:p>
    <w:p w:rsidR="00875F0D" w:rsidRPr="00311EFD" w:rsidRDefault="00311EFD" w:rsidP="00311EFD">
      <w:pPr>
        <w:pStyle w:val="Prrafodelista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/>
          <w:bCs/>
          <w:color w:val="333333"/>
          <w:lang w:val="es-ES_tradnl" w:eastAsia="es-ES_tradnl"/>
        </w:rPr>
      </w:pPr>
      <w:r w:rsidRP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>7. Renovamos el compromiso de reducir el número de niños menores de 5 años que sufren retraso del crecimiento; reducir la anemia entre las mujeres en edad reproductiva</w:t>
      </w:r>
      <w:r w:rsid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y </w:t>
      </w:r>
      <w:r w:rsidR="007C1DDA" w:rsidRPr="007C1DDA">
        <w:rPr>
          <w:rFonts w:asciiTheme="majorHAnsi" w:eastAsia="Times New Roman" w:hAnsiTheme="majorHAnsi"/>
          <w:bCs/>
          <w:color w:val="FF0000"/>
          <w:lang w:val="es-ES_tradnl" w:eastAsia="es-ES_tradnl"/>
        </w:rPr>
        <w:t>niños en edad escolar</w:t>
      </w:r>
      <w:r w:rsidRP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>; reducir la insuficiencia ponderal del recién nacido; detener el aumento de la prevalencia del sobrepeso entre los niños menores de 5 años</w:t>
      </w:r>
      <w:r w:rsid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="007C1DDA" w:rsidRPr="007C1DDA">
        <w:rPr>
          <w:rFonts w:asciiTheme="majorHAnsi" w:eastAsia="Times New Roman" w:hAnsiTheme="majorHAnsi"/>
          <w:bCs/>
          <w:color w:val="FF0000"/>
          <w:lang w:val="es-ES_tradnl" w:eastAsia="es-ES_tradnl"/>
        </w:rPr>
        <w:t>y en edad escolar</w:t>
      </w:r>
      <w:r w:rsidRP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; aumentar la tasa de lactancia materna exclusiva en los primeros seis meses; reducir y mantener la prevalencia de la emaciación entre los niños menores de 5 años; así como invertir el aumento de la obesidad y la diabetes, como parte del esfuerzo para reducir la </w:t>
      </w:r>
      <w:r w:rsidRP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lastRenderedPageBreak/>
        <w:t>mortalidad global asociada a las enfermedades</w:t>
      </w:r>
      <w:r w:rsid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="007C1DDA" w:rsidRPr="007C1DDA">
        <w:rPr>
          <w:rFonts w:asciiTheme="majorHAnsi" w:eastAsia="Times New Roman" w:hAnsiTheme="majorHAnsi"/>
          <w:bCs/>
          <w:color w:val="FF0000"/>
          <w:lang w:val="es-ES_tradnl" w:eastAsia="es-ES_tradnl"/>
        </w:rPr>
        <w:t>crónicas</w:t>
      </w:r>
      <w:r w:rsidRP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no transmisibles. </w:t>
      </w:r>
      <w:r w:rsidRPr="00311EFD">
        <w:rPr>
          <w:rFonts w:asciiTheme="majorHAnsi" w:eastAsia="Times New Roman" w:hAnsiTheme="majorHAnsi"/>
          <w:bCs/>
          <w:color w:val="333333"/>
          <w:lang w:val="es-ES_tradnl" w:eastAsia="es-ES_tradnl"/>
        </w:rPr>
        <w:cr/>
      </w:r>
    </w:p>
    <w:p w:rsidR="00FF40B6" w:rsidRPr="007C1DDA" w:rsidRDefault="007C1DDA" w:rsidP="007C1DDA">
      <w:pPr>
        <w:pStyle w:val="Prrafodelista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/>
          <w:bCs/>
          <w:color w:val="333333"/>
          <w:lang w:val="es-ES_tradnl" w:eastAsia="es-ES_tradnl"/>
        </w:rPr>
      </w:pPr>
      <w:r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9. </w:t>
      </w:r>
      <w:r w:rsidRP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Reconocemos que una buena nutrición exige sistemas </w:t>
      </w:r>
      <w:r w:rsidRPr="007C1DDA">
        <w:rPr>
          <w:rFonts w:asciiTheme="majorHAnsi" w:eastAsia="Times New Roman" w:hAnsiTheme="majorHAnsi"/>
          <w:bCs/>
          <w:color w:val="FF0000"/>
          <w:lang w:val="es-ES_tradnl" w:eastAsia="es-ES_tradnl"/>
        </w:rPr>
        <w:t>agro</w:t>
      </w:r>
      <w:r w:rsidRP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alimentarios más sostenibles, equitativos y resistentes. Los sistemas </w:t>
      </w:r>
      <w:r w:rsidRPr="007C1DDA">
        <w:rPr>
          <w:rFonts w:asciiTheme="majorHAnsi" w:eastAsia="Times New Roman" w:hAnsiTheme="majorHAnsi"/>
          <w:bCs/>
          <w:color w:val="FF0000"/>
          <w:lang w:val="es-ES_tradnl" w:eastAsia="es-ES_tradnl"/>
        </w:rPr>
        <w:t>agro</w:t>
      </w:r>
      <w:r w:rsidRP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>alimentarios ―los recursos, el medio ambiente, las personas, las instituciones y los procesos mediante los cuales se producen, elaboran, almacenan, distribuyen, preparan y consumen los alimentos― determinan la cantidad y la calidad del suministro de alimentos, en términos de contenido nutricional, divers</w:t>
      </w:r>
      <w:r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idad e inocuidad. La agricultura, </w:t>
      </w:r>
      <w:r w:rsidRPr="007C1DDA">
        <w:rPr>
          <w:rFonts w:asciiTheme="majorHAnsi" w:eastAsia="Times New Roman" w:hAnsiTheme="majorHAnsi"/>
          <w:bCs/>
          <w:color w:val="FF0000"/>
          <w:lang w:val="es-ES_tradnl" w:eastAsia="es-ES_tradnl"/>
        </w:rPr>
        <w:t>la ganadería</w:t>
      </w:r>
      <w:r w:rsidRP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7C1DDA">
        <w:rPr>
          <w:rFonts w:asciiTheme="majorHAnsi" w:eastAsia="Times New Roman" w:hAnsiTheme="majorHAnsi"/>
          <w:bCs/>
          <w:strike/>
          <w:color w:val="333333"/>
          <w:lang w:val="es-ES_tradnl" w:eastAsia="es-ES_tradnl"/>
        </w:rPr>
        <w:t>(incluida la ganadería)</w:t>
      </w:r>
      <w:r w:rsidRP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, la pesca y el agua potable </w:t>
      </w:r>
      <w:r w:rsidRPr="007C1DDA">
        <w:rPr>
          <w:rFonts w:asciiTheme="majorHAnsi" w:eastAsia="Times New Roman" w:hAnsiTheme="majorHAnsi"/>
          <w:bCs/>
          <w:strike/>
          <w:color w:val="333333"/>
          <w:lang w:val="es-ES_tradnl" w:eastAsia="es-ES_tradnl"/>
        </w:rPr>
        <w:t>se encuentran en</w:t>
      </w:r>
      <w:r w:rsidRP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7C1DDA">
        <w:rPr>
          <w:rFonts w:asciiTheme="majorHAnsi" w:eastAsia="Times New Roman" w:hAnsiTheme="majorHAnsi"/>
          <w:bCs/>
          <w:color w:val="FF0000"/>
          <w:lang w:val="es-ES_tradnl" w:eastAsia="es-ES_tradnl"/>
        </w:rPr>
        <w:t>son</w:t>
      </w:r>
      <w:r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la base de los sistemas </w:t>
      </w:r>
      <w:r w:rsidRPr="007C1DDA">
        <w:rPr>
          <w:rFonts w:asciiTheme="majorHAnsi" w:eastAsia="Times New Roman" w:hAnsiTheme="majorHAnsi"/>
          <w:bCs/>
          <w:color w:val="FF0000"/>
          <w:lang w:val="es-ES_tradnl" w:eastAsia="es-ES_tradnl"/>
        </w:rPr>
        <w:t>agro</w:t>
      </w:r>
      <w:r w:rsidRP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alimentarios. </w:t>
      </w:r>
      <w:r w:rsidRPr="007C1DDA">
        <w:rPr>
          <w:rFonts w:asciiTheme="majorHAnsi" w:eastAsia="Times New Roman" w:hAnsiTheme="majorHAnsi"/>
          <w:bCs/>
          <w:color w:val="333333"/>
          <w:lang w:val="es-ES_tradnl" w:eastAsia="es-ES_tradnl"/>
        </w:rPr>
        <w:cr/>
      </w:r>
    </w:p>
    <w:p w:rsidR="00880C39" w:rsidRPr="00880C39" w:rsidRDefault="00880C39" w:rsidP="00880C39">
      <w:pPr>
        <w:pStyle w:val="Prrafodelista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/>
          <w:bCs/>
          <w:color w:val="333333"/>
          <w:lang w:val="es-ES_tradnl" w:eastAsia="es-ES_tradnl"/>
        </w:rPr>
      </w:pPr>
      <w:r w:rsidRPr="00880C39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12. Reconocemos que son necesarios </w:t>
      </w:r>
      <w:r w:rsidRPr="00880C39">
        <w:rPr>
          <w:rFonts w:asciiTheme="majorHAnsi" w:eastAsia="Times New Roman" w:hAnsiTheme="majorHAnsi"/>
          <w:bCs/>
          <w:strike/>
          <w:color w:val="333333"/>
          <w:lang w:val="es-ES_tradnl" w:eastAsia="es-ES_tradnl"/>
        </w:rPr>
        <w:t>paquetes</w:t>
      </w:r>
      <w:r w:rsidRPr="00880C39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880C39">
        <w:rPr>
          <w:rFonts w:asciiTheme="majorHAnsi" w:eastAsia="Times New Roman" w:hAnsiTheme="majorHAnsi"/>
          <w:bCs/>
          <w:color w:val="FF0000"/>
          <w:lang w:val="es-ES_tradnl" w:eastAsia="es-ES_tradnl"/>
        </w:rPr>
        <w:t>un conjunto</w:t>
      </w:r>
      <w:r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de políticas apropiada</w:t>
      </w:r>
      <w:r w:rsidRPr="00880C39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s para hacer frente a las múltiples cargas de la malnutrición en diferentes situaciones. </w:t>
      </w:r>
    </w:p>
    <w:p w:rsidR="00FF40B6" w:rsidRPr="00880C39" w:rsidRDefault="00311EFD" w:rsidP="00880C39">
      <w:pPr>
        <w:pStyle w:val="Prrafodelista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/>
          <w:bCs/>
          <w:color w:val="333333"/>
          <w:lang w:val="es-ES_tradnl" w:eastAsia="es-ES_tradnl"/>
        </w:rPr>
      </w:pPr>
      <w:r w:rsidRPr="00880C39">
        <w:rPr>
          <w:rFonts w:asciiTheme="majorHAnsi" w:eastAsia="Times New Roman" w:hAnsiTheme="majorHAnsi"/>
          <w:bCs/>
          <w:color w:val="333333"/>
          <w:lang w:val="es-ES_tradnl" w:eastAsia="es-ES_tradnl"/>
        </w:rPr>
        <w:tab/>
        <w:t xml:space="preserve"> </w:t>
      </w:r>
      <w:r w:rsidRPr="00880C39">
        <w:rPr>
          <w:rFonts w:asciiTheme="majorHAnsi" w:eastAsia="Times New Roman" w:hAnsiTheme="majorHAnsi"/>
          <w:bCs/>
          <w:color w:val="333333"/>
          <w:lang w:val="es-ES_tradnl" w:eastAsia="es-ES_tradnl"/>
        </w:rPr>
        <w:tab/>
      </w:r>
    </w:p>
    <w:p w:rsidR="00FF40B6" w:rsidRDefault="00F11ADA" w:rsidP="00F11ADA">
      <w:pPr>
        <w:pStyle w:val="Prrafodelista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/>
          <w:bCs/>
          <w:color w:val="333333"/>
          <w:lang w:val="es-ES_tradnl" w:eastAsia="es-ES_tradnl"/>
        </w:rPr>
      </w:pPr>
      <w:r w:rsidRPr="00F11A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15. Reconocemos </w:t>
      </w:r>
      <w:r w:rsidR="004D0F6F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la necesidad de </w:t>
      </w:r>
      <w:r w:rsidRPr="004D0F6F">
        <w:rPr>
          <w:rFonts w:asciiTheme="majorHAnsi" w:eastAsia="Times New Roman" w:hAnsiTheme="majorHAnsi"/>
          <w:bCs/>
          <w:strike/>
          <w:color w:val="333333"/>
          <w:lang w:val="es-ES_tradnl" w:eastAsia="es-ES_tradnl"/>
        </w:rPr>
        <w:t>que se proporciona</w:t>
      </w:r>
      <w:r w:rsidRPr="00F11A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="004D0F6F" w:rsidRPr="004D0F6F">
        <w:rPr>
          <w:rFonts w:asciiTheme="majorHAnsi" w:eastAsia="Times New Roman" w:hAnsiTheme="majorHAnsi"/>
          <w:bCs/>
          <w:color w:val="FF0000"/>
          <w:lang w:val="es-ES_tradnl" w:eastAsia="es-ES_tradnl"/>
        </w:rPr>
        <w:t>proporcionar</w:t>
      </w:r>
      <w:r w:rsidR="004D0F6F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F11ADA">
        <w:rPr>
          <w:rFonts w:asciiTheme="majorHAnsi" w:eastAsia="Times New Roman" w:hAnsiTheme="majorHAnsi"/>
          <w:bCs/>
          <w:color w:val="333333"/>
          <w:lang w:val="es-ES_tradnl" w:eastAsia="es-ES_tradnl"/>
        </w:rPr>
        <w:t>protección en materia de nutrición a las personas afectadas por la inseguridad alimentaria así como a las personas que no pueden adquirir los alimentos nutritivos que precisan, las personas con necesidades especiales y las que son vulnerables desde el punto de vista nutricional por otras razones. Examinaremos las oportunidades para mejorar la nutrición mediante programas, intervenciones y asociaciones en favor de la salud de la madre antes y después del parto, la salud infantil y la alimentación</w:t>
      </w:r>
      <w:r w:rsidR="004D0F6F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="004D0F6F" w:rsidRPr="004D0F6F">
        <w:rPr>
          <w:rFonts w:asciiTheme="majorHAnsi" w:eastAsia="Times New Roman" w:hAnsiTheme="majorHAnsi"/>
          <w:bCs/>
          <w:color w:val="FF0000"/>
          <w:lang w:val="es-ES_tradnl" w:eastAsia="es-ES_tradnl"/>
        </w:rPr>
        <w:t>y nutrición</w:t>
      </w:r>
      <w:r w:rsidR="004D0F6F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F11A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de los escolares. En las intervenciones humanitarias en situaciones de crisis se </w:t>
      </w:r>
      <w:r w:rsidRPr="004D0F6F">
        <w:rPr>
          <w:rFonts w:asciiTheme="majorHAnsi" w:eastAsia="Times New Roman" w:hAnsiTheme="majorHAnsi"/>
          <w:bCs/>
          <w:color w:val="FF0000"/>
          <w:lang w:val="es-ES_tradnl" w:eastAsia="es-ES_tradnl"/>
        </w:rPr>
        <w:t>presta</w:t>
      </w:r>
      <w:r w:rsidR="004D0F6F" w:rsidRPr="004D0F6F">
        <w:rPr>
          <w:rFonts w:asciiTheme="majorHAnsi" w:eastAsia="Times New Roman" w:hAnsiTheme="majorHAnsi"/>
          <w:bCs/>
          <w:color w:val="FF0000"/>
          <w:lang w:val="es-ES_tradnl" w:eastAsia="es-ES_tradnl"/>
        </w:rPr>
        <w:t>rá mayor</w:t>
      </w:r>
      <w:r w:rsidRPr="00F11A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atención a las necesidades nutricionales de </w:t>
      </w:r>
      <w:r w:rsidR="004D0F6F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la </w:t>
      </w:r>
      <w:r w:rsidR="004D0F6F" w:rsidRPr="004D0F6F">
        <w:rPr>
          <w:rFonts w:asciiTheme="majorHAnsi" w:eastAsia="Times New Roman" w:hAnsiTheme="majorHAnsi"/>
          <w:bCs/>
          <w:color w:val="FF0000"/>
          <w:lang w:val="es-ES_tradnl" w:eastAsia="es-ES_tradnl"/>
        </w:rPr>
        <w:t>población afectada</w:t>
      </w:r>
      <w:r w:rsidRPr="00F11ADA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. </w:t>
      </w:r>
      <w:r w:rsidRPr="00F11ADA">
        <w:rPr>
          <w:rFonts w:asciiTheme="majorHAnsi" w:eastAsia="Times New Roman" w:hAnsiTheme="majorHAnsi"/>
          <w:bCs/>
          <w:color w:val="333333"/>
          <w:lang w:val="es-ES_tradnl" w:eastAsia="es-ES_tradnl"/>
        </w:rPr>
        <w:cr/>
      </w:r>
    </w:p>
    <w:p w:rsidR="004D0F6F" w:rsidRPr="00F11ADA" w:rsidRDefault="004D0F6F" w:rsidP="004D0F6F">
      <w:pPr>
        <w:pStyle w:val="Prrafodelista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/>
          <w:bCs/>
          <w:color w:val="333333"/>
          <w:lang w:val="es-ES_tradnl" w:eastAsia="es-ES_tradnl"/>
        </w:rPr>
      </w:pPr>
      <w:r w:rsidRPr="004D0F6F">
        <w:rPr>
          <w:rFonts w:asciiTheme="majorHAnsi" w:eastAsia="Times New Roman" w:hAnsiTheme="majorHAnsi"/>
          <w:bCs/>
          <w:color w:val="333333"/>
          <w:lang w:val="es-ES_tradnl" w:eastAsia="es-ES_tradnl"/>
        </w:rPr>
        <w:t>17. Reconocemos también que la preparación, la coordinación y el seguimiento de la aplicación de políticas y programas de nutrición son insuficientes, tanto en el plano nacional como en el plano internacional. La responsabilidad y el liderazgo de los gobiernos en materia de nutrición son con frecuencia parciales y fragmentados, o   incluso inexistentes. Las estrategias</w:t>
      </w:r>
      <w:r w:rsidRPr="004D0F6F">
        <w:rPr>
          <w:rFonts w:asciiTheme="majorHAnsi" w:eastAsia="Times New Roman" w:hAnsiTheme="majorHAnsi"/>
          <w:bCs/>
          <w:color w:val="FF0000"/>
          <w:lang w:val="es-ES_tradnl" w:eastAsia="es-ES_tradnl"/>
        </w:rPr>
        <w:t>, políticas</w:t>
      </w:r>
      <w:r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</w:t>
      </w:r>
      <w:r w:rsidRPr="004D0F6F">
        <w:rPr>
          <w:rFonts w:asciiTheme="majorHAnsi" w:eastAsia="Times New Roman" w:hAnsiTheme="majorHAnsi"/>
          <w:bCs/>
          <w:color w:val="FF0000"/>
          <w:lang w:val="es-ES_tradnl" w:eastAsia="es-ES_tradnl"/>
        </w:rPr>
        <w:t>y/o programas</w:t>
      </w:r>
      <w:r w:rsidRPr="004D0F6F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nacionales para la nutrición deberían promover la participación y coordinación de todos los ministerios y departamentos competentes</w:t>
      </w:r>
      <w:r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, </w:t>
      </w:r>
      <w:r w:rsidRPr="004D0F6F">
        <w:rPr>
          <w:rFonts w:asciiTheme="majorHAnsi" w:eastAsia="Times New Roman" w:hAnsiTheme="majorHAnsi"/>
          <w:bCs/>
          <w:color w:val="FF0000"/>
          <w:lang w:val="es-ES_tradnl" w:eastAsia="es-ES_tradnl"/>
        </w:rPr>
        <w:t>organizaciones de la sociedad civil y empresa privada</w:t>
      </w:r>
      <w:r w:rsidRPr="004D0F6F">
        <w:rPr>
          <w:rFonts w:asciiTheme="majorHAnsi" w:eastAsia="Times New Roman" w:hAnsiTheme="majorHAnsi"/>
          <w:bCs/>
          <w:color w:val="333333"/>
          <w:lang w:val="es-ES_tradnl" w:eastAsia="es-ES_tradnl"/>
        </w:rPr>
        <w:t xml:space="preserve"> en intervenciones complementarias, respaldadas con los recursos financieros, humanos y de otro tipo necesarios. </w:t>
      </w:r>
      <w:r w:rsidRPr="004D0F6F">
        <w:rPr>
          <w:rFonts w:asciiTheme="majorHAnsi" w:eastAsia="Times New Roman" w:hAnsiTheme="majorHAnsi"/>
          <w:bCs/>
          <w:color w:val="333333"/>
          <w:lang w:val="es-ES_tradnl" w:eastAsia="es-ES_tradnl"/>
        </w:rPr>
        <w:cr/>
      </w:r>
    </w:p>
    <w:p w:rsidR="00875F0D" w:rsidRPr="00875F0D" w:rsidRDefault="00875F0D" w:rsidP="00875F0D">
      <w:pPr>
        <w:pStyle w:val="Prrafodelista"/>
        <w:shd w:val="clear" w:color="auto" w:fill="FFFFFF"/>
        <w:spacing w:after="0" w:line="240" w:lineRule="auto"/>
        <w:ind w:left="426"/>
        <w:rPr>
          <w:rFonts w:asciiTheme="majorHAnsi" w:eastAsia="Times New Roman" w:hAnsiTheme="majorHAnsi"/>
          <w:b/>
          <w:bCs/>
          <w:color w:val="333333"/>
          <w:lang w:val="es-ES_tradnl" w:eastAsia="es-ES_tradnl"/>
        </w:rPr>
      </w:pPr>
    </w:p>
    <w:p w:rsidR="00875F0D" w:rsidRPr="00875F0D" w:rsidRDefault="00875F0D" w:rsidP="00875F0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/>
          <w:b/>
          <w:bCs/>
          <w:color w:val="333333"/>
          <w:lang w:val="fr-FR" w:eastAsia="es-ES_tradnl"/>
        </w:rPr>
      </w:pPr>
      <w:r w:rsidRPr="00875F0D">
        <w:rPr>
          <w:rFonts w:asciiTheme="majorHAnsi" w:eastAsia="Times New Roman" w:hAnsiTheme="majorHAnsi"/>
          <w:b/>
          <w:bCs/>
          <w:color w:val="333333"/>
          <w:lang w:val="es-ES_tradnl" w:eastAsia="es-ES_tradnl"/>
        </w:rPr>
        <w:t xml:space="preserve">¿Tiene algún comentario sobre los compromisos propuestos en la declaración política? </w:t>
      </w:r>
      <w:r w:rsidRPr="00875F0D">
        <w:rPr>
          <w:rFonts w:asciiTheme="majorHAnsi" w:eastAsia="Times New Roman" w:hAnsiTheme="majorHAnsi"/>
          <w:b/>
          <w:bCs/>
          <w:color w:val="333333"/>
          <w:lang w:val="fr-FR" w:eastAsia="es-ES_tradnl"/>
        </w:rPr>
        <w:t>En este sentido, ¿tiene alguna sugerencia para contribuir a una elaboración más técnica para orientar la acción y la implementación de estos compromisos (párrafos 21 a 23 del borrador cero)?</w:t>
      </w:r>
    </w:p>
    <w:p w:rsidR="00875F0D" w:rsidRPr="00875F0D" w:rsidRDefault="007C1DDA" w:rsidP="00875F0D">
      <w:pPr>
        <w:shd w:val="clear" w:color="auto" w:fill="FFFFFF"/>
        <w:spacing w:after="0" w:line="24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ab/>
      </w:r>
    </w:p>
    <w:p w:rsidR="002317F6" w:rsidRPr="00875F0D" w:rsidRDefault="002317F6" w:rsidP="002317F6">
      <w:pPr>
        <w:pStyle w:val="Prrafodelista"/>
        <w:shd w:val="clear" w:color="auto" w:fill="FFFFFF"/>
        <w:spacing w:after="0" w:line="240" w:lineRule="auto"/>
        <w:ind w:left="426"/>
        <w:rPr>
          <w:rFonts w:asciiTheme="majorHAnsi" w:hAnsiTheme="majorHAnsi"/>
          <w:lang w:val="es-ES_tradnl"/>
        </w:rPr>
      </w:pPr>
    </w:p>
    <w:p w:rsidR="002317F6" w:rsidRPr="00875F0D" w:rsidRDefault="002317F6" w:rsidP="002317F6">
      <w:pPr>
        <w:pStyle w:val="Prrafodelista"/>
        <w:shd w:val="clear" w:color="auto" w:fill="FFFFFF"/>
        <w:spacing w:after="0" w:line="240" w:lineRule="auto"/>
        <w:ind w:left="426"/>
        <w:rPr>
          <w:rFonts w:asciiTheme="majorHAnsi" w:hAnsiTheme="majorHAnsi"/>
          <w:lang w:val="es-ES_tradnl"/>
        </w:rPr>
      </w:pPr>
    </w:p>
    <w:p w:rsidR="002317F6" w:rsidRPr="00875F0D" w:rsidRDefault="002317F6" w:rsidP="002317F6">
      <w:pPr>
        <w:pStyle w:val="Prrafodelista"/>
        <w:shd w:val="clear" w:color="auto" w:fill="FFFFFF"/>
        <w:spacing w:after="0" w:line="240" w:lineRule="auto"/>
        <w:ind w:left="426"/>
        <w:rPr>
          <w:rFonts w:asciiTheme="majorHAnsi" w:hAnsiTheme="majorHAnsi"/>
          <w:lang w:val="es-ES_tradnl"/>
        </w:rPr>
      </w:pPr>
    </w:p>
    <w:p w:rsidR="002317F6" w:rsidRPr="00875F0D" w:rsidRDefault="002317F6" w:rsidP="002317F6">
      <w:pPr>
        <w:pStyle w:val="Prrafodelista"/>
        <w:shd w:val="clear" w:color="auto" w:fill="FFFFFF"/>
        <w:spacing w:after="0" w:line="240" w:lineRule="auto"/>
        <w:ind w:left="426"/>
        <w:rPr>
          <w:rFonts w:asciiTheme="majorHAnsi" w:hAnsiTheme="majorHAnsi"/>
          <w:lang w:val="es-ES_tradnl"/>
        </w:rPr>
      </w:pPr>
    </w:p>
    <w:p w:rsidR="002317F6" w:rsidRPr="00875F0D" w:rsidRDefault="002317F6" w:rsidP="002317F6">
      <w:pPr>
        <w:pStyle w:val="Prrafodelista"/>
        <w:shd w:val="clear" w:color="auto" w:fill="FFFFFF"/>
        <w:spacing w:after="0" w:line="240" w:lineRule="auto"/>
        <w:ind w:left="426"/>
        <w:rPr>
          <w:rFonts w:asciiTheme="majorHAnsi" w:hAnsiTheme="majorHAnsi"/>
          <w:lang w:val="es-ES_tradnl"/>
        </w:rPr>
      </w:pPr>
    </w:p>
    <w:p w:rsidR="002317F6" w:rsidRDefault="002317F6" w:rsidP="002317F6">
      <w:pPr>
        <w:pStyle w:val="Prrafodelista"/>
        <w:shd w:val="clear" w:color="auto" w:fill="FFFFFF"/>
        <w:spacing w:after="0" w:line="240" w:lineRule="auto"/>
        <w:ind w:left="426"/>
        <w:rPr>
          <w:rFonts w:asciiTheme="majorHAnsi" w:eastAsia="Times New Roman" w:hAnsiTheme="majorHAnsi"/>
          <w:b/>
          <w:bCs/>
          <w:color w:val="333333"/>
          <w:lang w:val="fr-FR" w:eastAsia="es-ES_tradnl"/>
        </w:rPr>
      </w:pPr>
    </w:p>
    <w:p w:rsidR="002317F6" w:rsidRDefault="002317F6" w:rsidP="002317F6">
      <w:pPr>
        <w:pStyle w:val="Prrafodelista"/>
        <w:shd w:val="clear" w:color="auto" w:fill="FFFFFF"/>
        <w:spacing w:after="0" w:line="240" w:lineRule="auto"/>
        <w:ind w:left="426"/>
        <w:rPr>
          <w:rFonts w:asciiTheme="majorHAnsi" w:hAnsiTheme="majorHAnsi"/>
          <w:b/>
          <w:lang w:val="fr-FR"/>
        </w:rPr>
      </w:pPr>
    </w:p>
    <w:p w:rsidR="002317F6" w:rsidRDefault="002317F6" w:rsidP="002317F6">
      <w:pPr>
        <w:pStyle w:val="Prrafodelista"/>
        <w:shd w:val="clear" w:color="auto" w:fill="FFFFFF"/>
        <w:spacing w:after="0" w:line="240" w:lineRule="auto"/>
        <w:ind w:left="426"/>
        <w:rPr>
          <w:rFonts w:asciiTheme="majorHAnsi" w:hAnsiTheme="majorHAnsi"/>
          <w:b/>
          <w:lang w:val="fr-FR"/>
        </w:rPr>
      </w:pPr>
    </w:p>
    <w:p w:rsidR="002317F6" w:rsidRDefault="002317F6" w:rsidP="002317F6">
      <w:pPr>
        <w:pStyle w:val="Prrafodelista"/>
        <w:shd w:val="clear" w:color="auto" w:fill="FFFFFF"/>
        <w:spacing w:after="0" w:line="240" w:lineRule="auto"/>
        <w:ind w:left="426"/>
        <w:rPr>
          <w:rFonts w:asciiTheme="majorHAnsi" w:hAnsiTheme="majorHAnsi"/>
          <w:b/>
          <w:lang w:val="fr-FR"/>
        </w:rPr>
      </w:pPr>
    </w:p>
    <w:p w:rsidR="00875F0D" w:rsidRPr="00026313" w:rsidRDefault="00875F0D" w:rsidP="00875F0D">
      <w:pPr>
        <w:rPr>
          <w:rFonts w:asciiTheme="majorHAnsi" w:hAnsiTheme="majorHAnsi"/>
          <w:bCs/>
          <w:color w:val="31849B" w:themeColor="accent5" w:themeShade="BF"/>
        </w:rPr>
      </w:pPr>
      <w:r w:rsidRPr="00875F0D">
        <w:rPr>
          <w:rFonts w:asciiTheme="majorHAnsi" w:hAnsiTheme="majorHAnsi"/>
          <w:bCs/>
          <w:color w:val="31849B" w:themeColor="accent5" w:themeShade="BF"/>
          <w:highlight w:val="yellow"/>
        </w:rPr>
        <w:lastRenderedPageBreak/>
        <w:t>Please provide your comments in the appropriate fields relating to these commitments:</w:t>
      </w:r>
      <w:r w:rsidRPr="00026313">
        <w:rPr>
          <w:rFonts w:asciiTheme="majorHAnsi" w:hAnsiTheme="majorHAnsi"/>
          <w:bCs/>
          <w:color w:val="31849B" w:themeColor="accent5" w:themeShade="BF"/>
        </w:rPr>
        <w:tab/>
      </w:r>
    </w:p>
    <w:p w:rsidR="00026313" w:rsidRPr="00533A20" w:rsidRDefault="00026313" w:rsidP="006B71BD">
      <w:pPr>
        <w:rPr>
          <w:rFonts w:asciiTheme="majorHAnsi" w:hAnsiTheme="majorHAnsi"/>
          <w:lang w:val="en-US"/>
        </w:rPr>
      </w:pPr>
    </w:p>
    <w:p w:rsidR="00FF40B6" w:rsidRDefault="00FF40B6" w:rsidP="00FF40B6">
      <w:pPr>
        <w:rPr>
          <w:rFonts w:asciiTheme="majorHAnsi" w:hAnsiTheme="majorHAnsi"/>
          <w:b/>
          <w:szCs w:val="24"/>
          <w:lang w:val="es-ES_tradnl"/>
        </w:rPr>
      </w:pPr>
      <w:r w:rsidRPr="000D1F1E">
        <w:rPr>
          <w:rFonts w:asciiTheme="majorHAnsi" w:hAnsiTheme="majorHAnsi"/>
          <w:b/>
          <w:szCs w:val="24"/>
          <w:lang w:val="es-ES_tradnl"/>
        </w:rPr>
        <w:t>Compromiso por la acción</w:t>
      </w:r>
      <w:r>
        <w:rPr>
          <w:rFonts w:asciiTheme="majorHAnsi" w:hAnsiTheme="majorHAnsi"/>
          <w:b/>
          <w:szCs w:val="24"/>
          <w:lang w:val="es-ES_tradnl"/>
        </w:rPr>
        <w:t xml:space="preserve">: </w:t>
      </w:r>
    </w:p>
    <w:p w:rsidR="00FF40B6" w:rsidRDefault="00FF40B6" w:rsidP="00FF40B6">
      <w:pPr>
        <w:rPr>
          <w:rFonts w:asciiTheme="majorHAnsi" w:hAnsiTheme="majorHAnsi"/>
          <w:lang w:val="es-ES_tradnl"/>
        </w:rPr>
      </w:pPr>
      <w:r w:rsidRPr="003B0517">
        <w:rPr>
          <w:rFonts w:asciiTheme="majorHAnsi" w:hAnsiTheme="majorHAnsi"/>
          <w:lang w:val="es-ES_tradnl"/>
        </w:rPr>
        <w:t xml:space="preserve">21. </w:t>
      </w:r>
    </w:p>
    <w:p w:rsidR="00FF40B6" w:rsidRPr="003B0517" w:rsidRDefault="00FF40B6" w:rsidP="00FF40B6">
      <w:pPr>
        <w:rPr>
          <w:rFonts w:asciiTheme="majorHAnsi" w:eastAsia="Calibri" w:hAnsiTheme="majorHAnsi" w:cs="Garamond"/>
          <w:color w:val="000000"/>
          <w:lang w:val="es-ES_tradnl" w:eastAsia="en-GB"/>
        </w:rPr>
      </w:pP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I. armonizar nuestros sistemas </w:t>
      </w:r>
      <w:r w:rsidR="004D0F6F" w:rsidRPr="004D0F6F">
        <w:rPr>
          <w:rFonts w:asciiTheme="majorHAnsi" w:eastAsia="Calibri" w:hAnsiTheme="majorHAnsi" w:cs="Garamond"/>
          <w:color w:val="FF0000"/>
          <w:lang w:val="es-ES_tradnl" w:eastAsia="en-GB"/>
        </w:rPr>
        <w:t>agro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>alimentarios (</w:t>
      </w:r>
      <w:r w:rsidRPr="004D0F6F">
        <w:rPr>
          <w:rFonts w:asciiTheme="majorHAnsi" w:eastAsia="Calibri" w:hAnsiTheme="majorHAnsi" w:cs="Garamond"/>
          <w:strike/>
          <w:color w:val="000000"/>
          <w:lang w:val="es-ES_tradnl" w:eastAsia="en-GB"/>
        </w:rPr>
        <w:t xml:space="preserve">sistemas de 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producción, </w:t>
      </w:r>
      <w:r w:rsidR="004D0F6F" w:rsidRPr="004D0F6F">
        <w:rPr>
          <w:rFonts w:asciiTheme="majorHAnsi" w:eastAsia="Calibri" w:hAnsiTheme="majorHAnsi" w:cs="Garamond"/>
          <w:color w:val="FF0000"/>
          <w:lang w:val="es-ES_tradnl" w:eastAsia="en-GB"/>
        </w:rPr>
        <w:t>transformación</w:t>
      </w:r>
      <w:r w:rsidR="004D0F6F">
        <w:rPr>
          <w:rFonts w:asciiTheme="majorHAnsi" w:eastAsia="Calibri" w:hAnsiTheme="majorHAnsi" w:cs="Garamond"/>
          <w:color w:val="000000"/>
          <w:lang w:val="es-ES_tradnl" w:eastAsia="en-GB"/>
        </w:rPr>
        <w:t xml:space="preserve"> 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almacenamiento y distribución de alimentos) con las necesidades sanitarias de las personas; </w:t>
      </w: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>II. hacer</w:t>
      </w:r>
      <w:r w:rsidR="004D0F6F">
        <w:rPr>
          <w:rFonts w:asciiTheme="majorHAnsi" w:eastAsia="Calibri" w:hAnsiTheme="majorHAnsi" w:cs="Garamond"/>
          <w:color w:val="000000"/>
          <w:lang w:val="es-ES_tradnl" w:eastAsia="en-GB"/>
        </w:rPr>
        <w:t xml:space="preserve"> 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nuestros sistemas </w:t>
      </w:r>
      <w:r w:rsidR="004D0F6F" w:rsidRPr="004D0F6F">
        <w:rPr>
          <w:rFonts w:asciiTheme="majorHAnsi" w:eastAsia="Calibri" w:hAnsiTheme="majorHAnsi" w:cs="Garamond"/>
          <w:color w:val="FF0000"/>
          <w:lang w:val="es-ES_tradnl" w:eastAsia="en-GB"/>
        </w:rPr>
        <w:t>agro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alimentarios </w:t>
      </w:r>
      <w:r w:rsidR="004D0F6F" w:rsidRPr="004D0F6F">
        <w:rPr>
          <w:rFonts w:asciiTheme="majorHAnsi" w:eastAsia="Calibri" w:hAnsiTheme="majorHAnsi" w:cs="Garamond"/>
          <w:color w:val="FF0000"/>
          <w:lang w:val="es-ES_tradnl" w:eastAsia="en-GB"/>
        </w:rPr>
        <w:t>más</w:t>
      </w:r>
      <w:r w:rsidR="004D0F6F">
        <w:rPr>
          <w:rFonts w:asciiTheme="majorHAnsi" w:eastAsia="Calibri" w:hAnsiTheme="majorHAnsi" w:cs="Garamond"/>
          <w:color w:val="000000"/>
          <w:lang w:val="es-ES_tradnl" w:eastAsia="en-GB"/>
        </w:rPr>
        <w:t xml:space="preserve"> 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equitativos, de forma que todas las personas dispongan de acceso a alimentos nutritivos; </w:t>
      </w: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III. hacer que nuestros sistemas </w:t>
      </w:r>
      <w:r w:rsidR="004D0F6F" w:rsidRPr="004D0F6F">
        <w:rPr>
          <w:rFonts w:asciiTheme="majorHAnsi" w:eastAsia="Calibri" w:hAnsiTheme="majorHAnsi" w:cs="Garamond"/>
          <w:color w:val="FF0000"/>
          <w:lang w:val="es-ES_tradnl" w:eastAsia="en-GB"/>
        </w:rPr>
        <w:t>agro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alimentarios ofrezcan alimentos inocuos y nutritivos de forma sostenible y resistente; </w:t>
      </w: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228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>IV. velar por la accesibilidad, asequibilidad y aceptabilidad de alimentos</w:t>
      </w:r>
      <w:r w:rsidR="00D44838">
        <w:rPr>
          <w:rFonts w:asciiTheme="majorHAnsi" w:eastAsia="Calibri" w:hAnsiTheme="majorHAnsi" w:cs="Garamond"/>
          <w:color w:val="000000"/>
          <w:lang w:val="es-ES_tradnl" w:eastAsia="en-GB"/>
        </w:rPr>
        <w:t xml:space="preserve"> </w:t>
      </w:r>
      <w:r w:rsidR="00D44838" w:rsidRPr="00D44838">
        <w:rPr>
          <w:rFonts w:asciiTheme="majorHAnsi" w:eastAsia="Calibri" w:hAnsiTheme="majorHAnsi" w:cs="Garamond"/>
          <w:color w:val="FF0000"/>
          <w:lang w:val="es-ES_tradnl" w:eastAsia="en-GB"/>
        </w:rPr>
        <w:t>inocuos y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 nutritivos a través de la aplicación coherente de las políticas públicas en las cadenas de valor alimentarias; </w:t>
      </w:r>
    </w:p>
    <w:p w:rsidR="00FF40B6" w:rsidRDefault="00FF40B6" w:rsidP="00FF40B6">
      <w:pPr>
        <w:autoSpaceDE w:val="0"/>
        <w:autoSpaceDN w:val="0"/>
        <w:adjustRightInd w:val="0"/>
        <w:spacing w:after="228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228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228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228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V. </w:t>
      </w:r>
      <w:r w:rsidRPr="00D44838">
        <w:rPr>
          <w:rFonts w:asciiTheme="majorHAnsi" w:eastAsia="Calibri" w:hAnsiTheme="majorHAnsi" w:cs="Garamond"/>
          <w:strike/>
          <w:color w:val="000000"/>
          <w:lang w:val="es-ES_tradnl" w:eastAsia="en-GB"/>
        </w:rPr>
        <w:t>establecer</w:t>
      </w:r>
      <w:r w:rsidR="00D44838">
        <w:rPr>
          <w:rFonts w:asciiTheme="majorHAnsi" w:eastAsia="Calibri" w:hAnsiTheme="majorHAnsi" w:cs="Garamond"/>
          <w:strike/>
          <w:color w:val="000000"/>
          <w:lang w:val="es-ES_tradnl" w:eastAsia="en-GB"/>
        </w:rPr>
        <w:t xml:space="preserve"> </w:t>
      </w:r>
      <w:r w:rsidR="00D44838" w:rsidRPr="00D44838">
        <w:rPr>
          <w:rFonts w:asciiTheme="majorHAnsi" w:eastAsia="Calibri" w:hAnsiTheme="majorHAnsi" w:cs="Garamond"/>
          <w:color w:val="FF0000"/>
          <w:lang w:val="es-ES_tradnl" w:eastAsia="en-GB"/>
        </w:rPr>
        <w:t>incentivar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 el liderazgo de los gobiernos respecto de la conformación </w:t>
      </w:r>
      <w:r w:rsidR="00D44838" w:rsidRPr="00D44838">
        <w:rPr>
          <w:rFonts w:asciiTheme="majorHAnsi" w:eastAsia="Calibri" w:hAnsiTheme="majorHAnsi" w:cs="Garamond"/>
          <w:color w:val="FF0000"/>
          <w:lang w:val="es-ES_tradnl" w:eastAsia="en-GB"/>
        </w:rPr>
        <w:t>y desarrollo</w:t>
      </w:r>
      <w:r w:rsidR="00D44838">
        <w:rPr>
          <w:rFonts w:asciiTheme="majorHAnsi" w:eastAsia="Calibri" w:hAnsiTheme="majorHAnsi" w:cs="Garamond"/>
          <w:color w:val="000000"/>
          <w:lang w:val="es-ES_tradnl" w:eastAsia="en-GB"/>
        </w:rPr>
        <w:t xml:space="preserve"> 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de los sistemas </w:t>
      </w:r>
      <w:r w:rsidR="00D44838" w:rsidRPr="004D0F6F">
        <w:rPr>
          <w:rFonts w:asciiTheme="majorHAnsi" w:eastAsia="Calibri" w:hAnsiTheme="majorHAnsi" w:cs="Garamond"/>
          <w:color w:val="FF0000"/>
          <w:lang w:val="es-ES_tradnl" w:eastAsia="en-GB"/>
        </w:rPr>
        <w:t>agro</w:t>
      </w: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alimentarios; </w:t>
      </w:r>
    </w:p>
    <w:p w:rsidR="00FF40B6" w:rsidRDefault="00FF40B6" w:rsidP="00FF40B6">
      <w:pPr>
        <w:autoSpaceDE w:val="0"/>
        <w:autoSpaceDN w:val="0"/>
        <w:adjustRightInd w:val="0"/>
        <w:spacing w:after="228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228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228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228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lastRenderedPageBreak/>
        <w:t xml:space="preserve">VI. fomentar las contribuciones de todos los actores de la sociedad; </w:t>
      </w: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VII. aplicar un marco que permita seguir nuestros progresos hacia el logro de las metas y en la aplicación de estos compromisos, y con arreglo al cual deberemos rendir cuentas. </w:t>
      </w:r>
    </w:p>
    <w:p w:rsidR="00FF40B6" w:rsidRPr="003B0517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271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271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271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271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271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22. Nos comprometemos a poner en marcha un Decenio de acción sobre la nutrición guiado por un Marco de acción y a informar bienalmente sobre su aplicación a la FAO, la Organización Mundial de la Salud (OMS) y el Consejo Económico y Social de las Naciones Unidas. </w:t>
      </w: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</w:p>
    <w:p w:rsidR="00FF40B6" w:rsidRPr="003B0517" w:rsidRDefault="00FF40B6" w:rsidP="00FF40B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Garamond"/>
          <w:color w:val="000000"/>
          <w:lang w:val="es-ES_tradnl" w:eastAsia="en-GB"/>
        </w:rPr>
      </w:pPr>
      <w:r w:rsidRPr="003B0517">
        <w:rPr>
          <w:rFonts w:asciiTheme="majorHAnsi" w:eastAsia="Calibri" w:hAnsiTheme="majorHAnsi" w:cs="Garamond"/>
          <w:color w:val="000000"/>
          <w:lang w:val="es-ES_tradnl" w:eastAsia="en-GB"/>
        </w:rPr>
        <w:t xml:space="preserve">23. Nos comprometemos a integrar los objetivos y las líneas directrices del Marco decenal de acción en los esfuerzos mundiales de desarrollo después del año 2015. </w:t>
      </w:r>
    </w:p>
    <w:p w:rsidR="006B71BD" w:rsidRPr="00FF40B6" w:rsidRDefault="006B71BD" w:rsidP="00FF40B6">
      <w:pPr>
        <w:pStyle w:val="NormalWeb"/>
        <w:rPr>
          <w:rFonts w:asciiTheme="majorHAnsi" w:hAnsiTheme="majorHAnsi"/>
          <w:lang w:val="es-ES_tradnl"/>
        </w:rPr>
      </w:pPr>
    </w:p>
    <w:sectPr w:rsidR="006B71BD" w:rsidRPr="00FF40B6" w:rsidSect="00AD3388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26" w:rsidRDefault="005C0526" w:rsidP="00AD3388">
      <w:pPr>
        <w:spacing w:after="0" w:line="240" w:lineRule="auto"/>
      </w:pPr>
      <w:r>
        <w:separator/>
      </w:r>
    </w:p>
  </w:endnote>
  <w:endnote w:type="continuationSeparator" w:id="1">
    <w:p w:rsidR="005C0526" w:rsidRDefault="005C0526" w:rsidP="00AD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26" w:rsidRDefault="005C0526" w:rsidP="00AD3388">
      <w:pPr>
        <w:spacing w:after="0" w:line="240" w:lineRule="auto"/>
      </w:pPr>
      <w:r>
        <w:separator/>
      </w:r>
    </w:p>
  </w:footnote>
  <w:footnote w:type="continuationSeparator" w:id="1">
    <w:p w:rsidR="005C0526" w:rsidRDefault="005C0526" w:rsidP="00AD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9"/>
      <w:gridCol w:w="2410"/>
    </w:tblGrid>
    <w:tr w:rsidR="00875F0D" w:rsidTr="00AD3388">
      <w:trPr>
        <w:jc w:val="center"/>
      </w:trPr>
      <w:tc>
        <w:tcPr>
          <w:tcW w:w="4219" w:type="dxa"/>
          <w:vAlign w:val="bottom"/>
        </w:tcPr>
        <w:p w:rsidR="00875F0D" w:rsidRDefault="00875F0D" w:rsidP="00AD3388">
          <w:pPr>
            <w:pStyle w:val="Encabezado"/>
            <w:tabs>
              <w:tab w:val="clear" w:pos="8640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286000" cy="8021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SN_horizontal_color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0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bottom"/>
        </w:tcPr>
        <w:p w:rsidR="00875F0D" w:rsidRDefault="00875F0D" w:rsidP="00AD3388">
          <w:pPr>
            <w:pStyle w:val="Encabezado"/>
          </w:pPr>
          <w:r>
            <w:rPr>
              <w:rFonts w:eastAsia="Times New Roman" w:cs="Times New Roman"/>
              <w:noProof/>
              <w:lang w:val="es-ES" w:eastAsia="es-ES"/>
            </w:rPr>
            <w:drawing>
              <wp:inline distT="0" distB="0" distL="0" distR="0">
                <wp:extent cx="1157848" cy="1157848"/>
                <wp:effectExtent l="0" t="0" r="0" b="0"/>
                <wp:docPr id="1" name="Picture 1" descr="http://www.fao.org/fsnforum/sites/default/files/imagecache/DiscussionResource/news/IC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o.org/fsnforum/sites/default/files/imagecache/DiscussionResource/news/IC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848" cy="115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5F0D" w:rsidRDefault="00875F0D" w:rsidP="00AD3388">
    <w:pPr>
      <w:pStyle w:val="Encabezado"/>
    </w:pPr>
  </w:p>
  <w:p w:rsidR="00875F0D" w:rsidRPr="00AD3388" w:rsidRDefault="00875F0D" w:rsidP="00AD33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E1C"/>
    <w:multiLevelType w:val="hybridMultilevel"/>
    <w:tmpl w:val="018EE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86DA6"/>
    <w:multiLevelType w:val="hybridMultilevel"/>
    <w:tmpl w:val="018EEE82"/>
    <w:lvl w:ilvl="0" w:tplc="040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8F675D"/>
    <w:multiLevelType w:val="hybridMultilevel"/>
    <w:tmpl w:val="68C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1BD"/>
    <w:rsid w:val="00026313"/>
    <w:rsid w:val="00174E48"/>
    <w:rsid w:val="001C5C9A"/>
    <w:rsid w:val="002317F6"/>
    <w:rsid w:val="00300AC5"/>
    <w:rsid w:val="00311EFD"/>
    <w:rsid w:val="00314059"/>
    <w:rsid w:val="00315676"/>
    <w:rsid w:val="00411602"/>
    <w:rsid w:val="0043313E"/>
    <w:rsid w:val="004D0F6F"/>
    <w:rsid w:val="00533A20"/>
    <w:rsid w:val="005A5D4E"/>
    <w:rsid w:val="005C0526"/>
    <w:rsid w:val="006B71BD"/>
    <w:rsid w:val="007C1DDA"/>
    <w:rsid w:val="00875F0D"/>
    <w:rsid w:val="00880C39"/>
    <w:rsid w:val="008B46C0"/>
    <w:rsid w:val="008C01FE"/>
    <w:rsid w:val="00AD3388"/>
    <w:rsid w:val="00B36DDB"/>
    <w:rsid w:val="00D44838"/>
    <w:rsid w:val="00D918FA"/>
    <w:rsid w:val="00DF6499"/>
    <w:rsid w:val="00F11ADA"/>
    <w:rsid w:val="00FA68B4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paragraph" w:styleId="Ttulo2">
    <w:name w:val="heading 2"/>
    <w:basedOn w:val="Normal"/>
    <w:link w:val="Ttulo2Car"/>
    <w:uiPriority w:val="9"/>
    <w:qFormat/>
    <w:rsid w:val="00FF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88"/>
  </w:style>
  <w:style w:type="paragraph" w:styleId="Piedepgina">
    <w:name w:val="footer"/>
    <w:basedOn w:val="Normal"/>
    <w:link w:val="PiedepginaC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88"/>
  </w:style>
  <w:style w:type="table" w:styleId="Tablaconcuadrcula">
    <w:name w:val="Table Grid"/>
    <w:basedOn w:val="Tabla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263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F40B6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8"/>
  </w:style>
  <w:style w:type="paragraph" w:styleId="Footer">
    <w:name w:val="footer"/>
    <w:basedOn w:val="Normal"/>
    <w:link w:val="Foot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8"/>
  </w:style>
  <w:style w:type="table" w:styleId="TableGrid">
    <w:name w:val="Table Grid"/>
    <w:basedOn w:val="Table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5529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Blanck (ESA)</dc:creator>
  <cp:lastModifiedBy>Luis Rico</cp:lastModifiedBy>
  <cp:revision>2</cp:revision>
  <dcterms:created xsi:type="dcterms:W3CDTF">2014-03-22T03:52:00Z</dcterms:created>
  <dcterms:modified xsi:type="dcterms:W3CDTF">2014-03-22T03:52:00Z</dcterms:modified>
</cp:coreProperties>
</file>