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4E70" w14:textId="77777777" w:rsidR="007059C9" w:rsidRDefault="007059C9"/>
    <w:p w14:paraId="4DEFF2C2"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0940CEAD" w14:textId="77777777" w:rsidR="007059C9" w:rsidRDefault="007059C9" w:rsidP="007059C9">
      <w:pPr>
        <w:jc w:val="center"/>
        <w:rPr>
          <w:b/>
          <w:lang w:val="en-GB"/>
        </w:rPr>
      </w:pPr>
      <w:r w:rsidRPr="007059C9">
        <w:rPr>
          <w:b/>
          <w:lang w:val="en-GB"/>
        </w:rPr>
        <w:t>TEMPLATE FOR SUBMISSIONS</w:t>
      </w:r>
    </w:p>
    <w:p w14:paraId="1645804B" w14:textId="77777777" w:rsidR="007059C9" w:rsidRDefault="007059C9" w:rsidP="007059C9">
      <w:pPr>
        <w:rPr>
          <w:lang w:val="en-GB"/>
        </w:rPr>
      </w:pPr>
    </w:p>
    <w:p w14:paraId="03576EA1" w14:textId="77777777"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14:paraId="3F98EEA3" w14:textId="77777777" w:rsidTr="007059C9">
        <w:trPr>
          <w:trHeight w:val="2529"/>
        </w:trPr>
        <w:tc>
          <w:tcPr>
            <w:tcW w:w="9748" w:type="dxa"/>
          </w:tcPr>
          <w:p w14:paraId="4C3BBE80" w14:textId="77777777" w:rsidR="007059C9" w:rsidRPr="00890E90" w:rsidRDefault="00890E90" w:rsidP="00890E90">
            <w:pPr>
              <w:pStyle w:val="ListParagraph"/>
              <w:numPr>
                <w:ilvl w:val="0"/>
                <w:numId w:val="2"/>
              </w:numPr>
              <w:spacing w:after="80" w:line="20" w:lineRule="atLeast"/>
              <w:rPr>
                <w:b/>
                <w:szCs w:val="24"/>
              </w:rPr>
            </w:pPr>
            <w:r>
              <w:rPr>
                <w:b/>
                <w:szCs w:val="24"/>
              </w:rPr>
              <w:t>In order to support countries to develop voluntary guidelines on food systems and nutrition for global and sustainable food security, it is critical that early in the background and rationale of the CFS voluntary guidelines on food systems and nutrition that the characteristics of a sustainable diet for human and planet health are clearly articulated</w:t>
            </w:r>
            <w:r w:rsidR="007E41F8">
              <w:rPr>
                <w:b/>
                <w:szCs w:val="24"/>
              </w:rPr>
              <w:t xml:space="preserve"> (more plant foods, less meat, less highly processed and packaged food and drinks </w:t>
            </w:r>
            <w:proofErr w:type="spellStart"/>
            <w:r w:rsidR="007E41F8">
              <w:rPr>
                <w:b/>
                <w:szCs w:val="24"/>
              </w:rPr>
              <w:t>etc</w:t>
            </w:r>
            <w:proofErr w:type="spellEnd"/>
            <w:r w:rsidR="007E41F8">
              <w:rPr>
                <w:b/>
                <w:szCs w:val="24"/>
              </w:rPr>
              <w:t>)</w:t>
            </w:r>
            <w:r>
              <w:rPr>
                <w:b/>
                <w:szCs w:val="24"/>
              </w:rPr>
              <w:t xml:space="preserve">. </w:t>
            </w:r>
            <w:r w:rsidR="007E41F8">
              <w:rPr>
                <w:b/>
                <w:szCs w:val="24"/>
              </w:rPr>
              <w:t>Refer to t</w:t>
            </w:r>
            <w:r>
              <w:rPr>
                <w:b/>
                <w:szCs w:val="24"/>
              </w:rPr>
              <w:t xml:space="preserve">he Lancet Commission report on  the Global </w:t>
            </w:r>
            <w:proofErr w:type="spellStart"/>
            <w:r>
              <w:rPr>
                <w:b/>
                <w:szCs w:val="24"/>
              </w:rPr>
              <w:t>Syndemic</w:t>
            </w:r>
            <w:proofErr w:type="spellEnd"/>
            <w:r>
              <w:rPr>
                <w:b/>
                <w:szCs w:val="24"/>
              </w:rPr>
              <w:t xml:space="preserve"> of Obesity, Undernutrition and Climate Change </w:t>
            </w:r>
            <w:hyperlink r:id="rId7" w:history="1">
              <w:r w:rsidRPr="00A33997">
                <w:rPr>
                  <w:rStyle w:val="Hyperlink"/>
                </w:rPr>
                <w:t>https://www.thelancet.com/journals/lancet/article/PIIS0140-6736(18)32822-8/fulltext</w:t>
              </w:r>
            </w:hyperlink>
          </w:p>
          <w:p w14:paraId="2B080E31" w14:textId="60D384A6" w:rsidR="00890E90" w:rsidRPr="007E41F8" w:rsidRDefault="007E41F8" w:rsidP="007E41F8">
            <w:pPr>
              <w:pStyle w:val="ListParagraph"/>
              <w:numPr>
                <w:ilvl w:val="0"/>
                <w:numId w:val="2"/>
              </w:numPr>
              <w:spacing w:after="80" w:line="20" w:lineRule="atLeast"/>
              <w:rPr>
                <w:b/>
                <w:szCs w:val="24"/>
              </w:rPr>
            </w:pPr>
            <w:r w:rsidRPr="007E41F8">
              <w:rPr>
                <w:b/>
                <w:szCs w:val="24"/>
              </w:rPr>
              <w:t>It would be useful th</w:t>
            </w:r>
            <w:r w:rsidR="00161F87">
              <w:rPr>
                <w:b/>
                <w:szCs w:val="24"/>
              </w:rPr>
              <w:t>e</w:t>
            </w:r>
            <w:r w:rsidRPr="007E41F8">
              <w:rPr>
                <w:b/>
                <w:szCs w:val="24"/>
              </w:rPr>
              <w:t xml:space="preserve">n to </w:t>
            </w:r>
            <w:r w:rsidR="00161F87">
              <w:rPr>
                <w:b/>
                <w:szCs w:val="24"/>
              </w:rPr>
              <w:t>describe</w:t>
            </w:r>
            <w:r w:rsidR="00161F87" w:rsidRPr="007E41F8">
              <w:rPr>
                <w:b/>
                <w:szCs w:val="24"/>
              </w:rPr>
              <w:t xml:space="preserve"> </w:t>
            </w:r>
            <w:r w:rsidRPr="007E41F8">
              <w:rPr>
                <w:b/>
                <w:szCs w:val="24"/>
              </w:rPr>
              <w:t xml:space="preserve">the five main categories </w:t>
            </w:r>
            <w:r w:rsidR="0064304E" w:rsidRPr="007E41F8">
              <w:rPr>
                <w:b/>
                <w:szCs w:val="24"/>
              </w:rPr>
              <w:t>as articulated in section 24</w:t>
            </w:r>
            <w:r w:rsidR="0064304E">
              <w:rPr>
                <w:b/>
                <w:szCs w:val="24"/>
              </w:rPr>
              <w:t xml:space="preserve"> </w:t>
            </w:r>
            <w:r w:rsidRPr="007E41F8">
              <w:rPr>
                <w:b/>
                <w:szCs w:val="24"/>
              </w:rPr>
              <w:t xml:space="preserve">and </w:t>
            </w:r>
            <w:r w:rsidR="0064304E">
              <w:rPr>
                <w:b/>
                <w:szCs w:val="24"/>
              </w:rPr>
              <w:t xml:space="preserve">their </w:t>
            </w:r>
            <w:r w:rsidRPr="007E41F8">
              <w:rPr>
                <w:b/>
                <w:szCs w:val="24"/>
              </w:rPr>
              <w:t>relat</w:t>
            </w:r>
            <w:r w:rsidR="0064304E">
              <w:rPr>
                <w:b/>
                <w:szCs w:val="24"/>
              </w:rPr>
              <w:t>ed</w:t>
            </w:r>
            <w:r w:rsidRPr="007E41F8">
              <w:rPr>
                <w:b/>
                <w:szCs w:val="24"/>
              </w:rPr>
              <w:t xml:space="preserve"> </w:t>
            </w:r>
            <w:r w:rsidR="00161F87" w:rsidRPr="007E41F8">
              <w:rPr>
                <w:b/>
                <w:szCs w:val="24"/>
              </w:rPr>
              <w:t>drivers, which</w:t>
            </w:r>
            <w:r w:rsidRPr="007E41F8">
              <w:rPr>
                <w:b/>
                <w:szCs w:val="24"/>
              </w:rPr>
              <w:t xml:space="preserve"> impact the functionality of food systems and their ability to deliver healthy </w:t>
            </w:r>
            <w:r>
              <w:rPr>
                <w:b/>
                <w:szCs w:val="24"/>
              </w:rPr>
              <w:t xml:space="preserve">and sustainable </w:t>
            </w:r>
            <w:r w:rsidRPr="007E41F8">
              <w:rPr>
                <w:b/>
                <w:szCs w:val="24"/>
              </w:rPr>
              <w:t xml:space="preserve">diets and thus </w:t>
            </w:r>
            <w:r>
              <w:rPr>
                <w:b/>
                <w:szCs w:val="24"/>
              </w:rPr>
              <w:t xml:space="preserve">global </w:t>
            </w:r>
            <w:r w:rsidRPr="007E41F8">
              <w:rPr>
                <w:b/>
                <w:szCs w:val="24"/>
              </w:rPr>
              <w:t xml:space="preserve">food security. </w:t>
            </w:r>
          </w:p>
          <w:p w14:paraId="6F153189" w14:textId="1EA13961" w:rsidR="0064304E" w:rsidRDefault="0064304E" w:rsidP="007E41F8">
            <w:pPr>
              <w:pStyle w:val="ListParagraph"/>
              <w:numPr>
                <w:ilvl w:val="0"/>
                <w:numId w:val="2"/>
              </w:numPr>
              <w:spacing w:after="80" w:line="20" w:lineRule="atLeast"/>
              <w:rPr>
                <w:b/>
                <w:szCs w:val="24"/>
              </w:rPr>
            </w:pPr>
            <w:r>
              <w:rPr>
                <w:b/>
                <w:szCs w:val="24"/>
              </w:rPr>
              <w:t xml:space="preserve">A description of the </w:t>
            </w:r>
            <w:r w:rsidR="007E41F8">
              <w:rPr>
                <w:b/>
                <w:szCs w:val="24"/>
              </w:rPr>
              <w:t xml:space="preserve">outcomes of </w:t>
            </w:r>
            <w:r>
              <w:rPr>
                <w:b/>
                <w:szCs w:val="24"/>
              </w:rPr>
              <w:t xml:space="preserve">disruptions to functioning food systems and the creation of non-sustainable </w:t>
            </w:r>
            <w:r w:rsidR="006567BA">
              <w:rPr>
                <w:b/>
                <w:szCs w:val="24"/>
              </w:rPr>
              <w:t xml:space="preserve">food systems </w:t>
            </w:r>
            <w:r>
              <w:rPr>
                <w:b/>
                <w:szCs w:val="24"/>
              </w:rPr>
              <w:t>which is malnutrition in all its forms and those most affected are those most vulnerable as articulated in section 1, could then follow.</w:t>
            </w:r>
          </w:p>
          <w:p w14:paraId="1B1A3667" w14:textId="77777777" w:rsidR="0064304E" w:rsidRDefault="0064304E" w:rsidP="007E41F8">
            <w:pPr>
              <w:pStyle w:val="ListParagraph"/>
              <w:numPr>
                <w:ilvl w:val="0"/>
                <w:numId w:val="2"/>
              </w:numPr>
              <w:spacing w:after="80" w:line="20" w:lineRule="atLeast"/>
              <w:rPr>
                <w:b/>
                <w:szCs w:val="24"/>
              </w:rPr>
            </w:pPr>
            <w:r>
              <w:rPr>
                <w:b/>
                <w:szCs w:val="24"/>
              </w:rPr>
              <w:t xml:space="preserve">The case can then be made clearly to governments on why policies that coordinate actions across sectors and across countries are needed.  </w:t>
            </w:r>
          </w:p>
          <w:p w14:paraId="57A5DAF8" w14:textId="77777777" w:rsidR="005F07F2" w:rsidRDefault="005F07F2" w:rsidP="007E41F8">
            <w:pPr>
              <w:pStyle w:val="ListParagraph"/>
              <w:numPr>
                <w:ilvl w:val="0"/>
                <w:numId w:val="2"/>
              </w:numPr>
              <w:spacing w:after="80" w:line="20" w:lineRule="atLeast"/>
              <w:rPr>
                <w:b/>
                <w:szCs w:val="24"/>
              </w:rPr>
            </w:pPr>
            <w:r>
              <w:rPr>
                <w:b/>
                <w:szCs w:val="24"/>
              </w:rPr>
              <w:t xml:space="preserve">Our concern is that if the voluntary guidelines are framed around addressing malnutrition in all its forms, rather than building sustainable food systems that provide healthy, affordable, acceptable and safe diets for all while respecting cultures and traditions, that downstream and unfragmented policy action may result. </w:t>
            </w:r>
          </w:p>
          <w:p w14:paraId="10CE35DC" w14:textId="77777777" w:rsidR="005F07F2" w:rsidRDefault="005F07F2" w:rsidP="007E41F8">
            <w:pPr>
              <w:pStyle w:val="ListParagraph"/>
              <w:numPr>
                <w:ilvl w:val="0"/>
                <w:numId w:val="2"/>
              </w:numPr>
              <w:spacing w:after="80" w:line="20" w:lineRule="atLeast"/>
              <w:rPr>
                <w:b/>
                <w:szCs w:val="24"/>
              </w:rPr>
            </w:pPr>
            <w:r>
              <w:rPr>
                <w:b/>
                <w:szCs w:val="24"/>
              </w:rPr>
              <w:t>We also support the comments submitted by the FAO Indigenous Peoples Team, PSPD, on the CFS policy process on the development of the voluntary guidelines on food systems and nutrition</w:t>
            </w:r>
            <w:r w:rsidR="001050A5">
              <w:rPr>
                <w:b/>
                <w:szCs w:val="24"/>
              </w:rPr>
              <w:t>.</w:t>
            </w:r>
            <w:r>
              <w:rPr>
                <w:b/>
                <w:szCs w:val="24"/>
              </w:rPr>
              <w:t xml:space="preserve"> </w:t>
            </w:r>
          </w:p>
          <w:p w14:paraId="51F503A0" w14:textId="77777777" w:rsidR="007059C9" w:rsidRDefault="005F07F2" w:rsidP="001050A5">
            <w:pPr>
              <w:pStyle w:val="ListParagraph"/>
              <w:numPr>
                <w:ilvl w:val="0"/>
                <w:numId w:val="2"/>
              </w:numPr>
              <w:spacing w:after="80" w:line="20" w:lineRule="atLeast"/>
              <w:rPr>
                <w:b/>
                <w:szCs w:val="24"/>
              </w:rPr>
            </w:pPr>
            <w:r>
              <w:rPr>
                <w:b/>
                <w:szCs w:val="24"/>
              </w:rPr>
              <w:t xml:space="preserve">As stated by the FAO Indigenous Peoples Team, there is a unique opportunity to </w:t>
            </w:r>
            <w:r w:rsidR="001050A5">
              <w:rPr>
                <w:b/>
                <w:szCs w:val="24"/>
              </w:rPr>
              <w:t xml:space="preserve">highlight the different systems through which humanity has been feeding itself over the past thousands of years and draw from the expertise of the Indigenous peoples of our planet and the small holder farmers in securing global and sustainable food security. As the FAO Indigenous Peoples Team describe this requires framing food security in a biocentric framework rather than an anthropocentric one. </w:t>
            </w:r>
            <w:r>
              <w:rPr>
                <w:b/>
                <w:szCs w:val="24"/>
              </w:rPr>
              <w:t xml:space="preserve">  </w:t>
            </w:r>
            <w:r w:rsidR="0064304E">
              <w:rPr>
                <w:b/>
                <w:szCs w:val="24"/>
              </w:rPr>
              <w:t xml:space="preserve"> </w:t>
            </w:r>
          </w:p>
        </w:tc>
      </w:tr>
      <w:tr w:rsidR="007E41F8" w14:paraId="6720A873" w14:textId="77777777" w:rsidTr="007059C9">
        <w:trPr>
          <w:trHeight w:val="2529"/>
        </w:trPr>
        <w:tc>
          <w:tcPr>
            <w:tcW w:w="9748" w:type="dxa"/>
          </w:tcPr>
          <w:p w14:paraId="6907B110" w14:textId="77777777" w:rsidR="007E41F8" w:rsidRPr="001050A5" w:rsidRDefault="007E41F8" w:rsidP="001050A5">
            <w:pPr>
              <w:spacing w:after="80" w:line="20" w:lineRule="atLeast"/>
              <w:rPr>
                <w:b/>
                <w:szCs w:val="24"/>
              </w:rPr>
            </w:pPr>
          </w:p>
        </w:tc>
      </w:tr>
    </w:tbl>
    <w:p w14:paraId="6AEB245C" w14:textId="77777777"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14:paraId="59DEBC6E"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14:paraId="340CB532" w14:textId="77777777" w:rsidTr="00990962">
        <w:trPr>
          <w:trHeight w:val="2529"/>
        </w:trPr>
        <w:tc>
          <w:tcPr>
            <w:tcW w:w="9748" w:type="dxa"/>
          </w:tcPr>
          <w:p w14:paraId="50EFAE16" w14:textId="77777777" w:rsidR="007059C9" w:rsidRPr="001050A5" w:rsidRDefault="001050A5" w:rsidP="001050A5">
            <w:pPr>
              <w:pStyle w:val="ListParagraph"/>
              <w:numPr>
                <w:ilvl w:val="0"/>
                <w:numId w:val="3"/>
              </w:numPr>
              <w:spacing w:after="80" w:line="20" w:lineRule="atLeast"/>
              <w:rPr>
                <w:b/>
                <w:szCs w:val="24"/>
              </w:rPr>
            </w:pPr>
            <w:r w:rsidRPr="001050A5">
              <w:rPr>
                <w:b/>
                <w:szCs w:val="24"/>
              </w:rPr>
              <w:t>In section 2.18 – more emphasis on policy to achieve sustainable food systems is needed.</w:t>
            </w:r>
          </w:p>
          <w:p w14:paraId="15F671F0" w14:textId="77777777" w:rsidR="001050A5" w:rsidRDefault="001050A5" w:rsidP="001050A5">
            <w:pPr>
              <w:pStyle w:val="ListParagraph"/>
              <w:numPr>
                <w:ilvl w:val="0"/>
                <w:numId w:val="3"/>
              </w:numPr>
              <w:spacing w:after="80" w:line="20" w:lineRule="atLeast"/>
              <w:rPr>
                <w:b/>
                <w:szCs w:val="24"/>
              </w:rPr>
            </w:pPr>
            <w:r>
              <w:rPr>
                <w:b/>
                <w:szCs w:val="24"/>
              </w:rPr>
              <w:t>A further principle is that policy not only ensure</w:t>
            </w:r>
            <w:r w:rsidR="00161F87">
              <w:rPr>
                <w:b/>
                <w:szCs w:val="24"/>
              </w:rPr>
              <w:t>s</w:t>
            </w:r>
            <w:r>
              <w:rPr>
                <w:b/>
                <w:szCs w:val="24"/>
              </w:rPr>
              <w:t xml:space="preserve"> the different dimensions of food security but also promotes and fosters opportunity for civil society to participate in decision-making and policy development.</w:t>
            </w:r>
          </w:p>
          <w:p w14:paraId="2A7DC5E7" w14:textId="7D0B07A1" w:rsidR="001050A5" w:rsidRDefault="001050A5" w:rsidP="001050A5">
            <w:pPr>
              <w:pStyle w:val="ListParagraph"/>
              <w:numPr>
                <w:ilvl w:val="0"/>
                <w:numId w:val="3"/>
              </w:numPr>
              <w:spacing w:after="80" w:line="20" w:lineRule="atLeast"/>
              <w:rPr>
                <w:b/>
                <w:szCs w:val="24"/>
              </w:rPr>
            </w:pPr>
            <w:r>
              <w:rPr>
                <w:b/>
                <w:szCs w:val="24"/>
              </w:rPr>
              <w:t xml:space="preserve">Food security is also connected with issues such as land and water sovereignty </w:t>
            </w:r>
            <w:r w:rsidR="004E2B4D">
              <w:rPr>
                <w:b/>
                <w:szCs w:val="24"/>
              </w:rPr>
              <w:t>and tenure for Indigenous peoples and small holder producers</w:t>
            </w:r>
            <w:r w:rsidR="00161F87">
              <w:rPr>
                <w:b/>
                <w:szCs w:val="24"/>
              </w:rPr>
              <w:t>.</w:t>
            </w:r>
            <w:r w:rsidR="00A85556">
              <w:rPr>
                <w:b/>
                <w:szCs w:val="24"/>
              </w:rPr>
              <w:t xml:space="preserve"> This needs to be consider in the guiding principles.</w:t>
            </w:r>
          </w:p>
          <w:p w14:paraId="361DEDDC" w14:textId="77777777" w:rsidR="00AE0C67" w:rsidRDefault="00AE0C67" w:rsidP="001050A5">
            <w:pPr>
              <w:pStyle w:val="ListParagraph"/>
              <w:numPr>
                <w:ilvl w:val="0"/>
                <w:numId w:val="3"/>
              </w:numPr>
              <w:spacing w:after="80" w:line="20" w:lineRule="atLeast"/>
              <w:rPr>
                <w:b/>
                <w:szCs w:val="24"/>
              </w:rPr>
            </w:pPr>
            <w:r>
              <w:rPr>
                <w:b/>
                <w:szCs w:val="24"/>
              </w:rPr>
              <w:t>We support the targeted policy recommendations relevant to Indigenous food systems as stated in the paper submitted to this consultation process through the FAO Indigenous Peoples Team, point 18 (a-g).</w:t>
            </w:r>
          </w:p>
          <w:p w14:paraId="353ADA94" w14:textId="77777777" w:rsidR="00AE0C67" w:rsidRDefault="00AE0C67" w:rsidP="001050A5">
            <w:pPr>
              <w:pStyle w:val="ListParagraph"/>
              <w:numPr>
                <w:ilvl w:val="0"/>
                <w:numId w:val="3"/>
              </w:numPr>
              <w:spacing w:after="80" w:line="20" w:lineRule="atLeast"/>
              <w:rPr>
                <w:b/>
                <w:szCs w:val="24"/>
              </w:rPr>
            </w:pPr>
            <w:r>
              <w:rPr>
                <w:b/>
                <w:szCs w:val="24"/>
              </w:rPr>
              <w:t>As stated by the FAO Indigenous Peoples Team, “Indigenous food systems, present important conceptual contributions that have not been included in these draft voluntary guidelines on food systems and that must be considered in order for the guidelines to be complete”.</w:t>
            </w:r>
          </w:p>
          <w:p w14:paraId="2DE02873" w14:textId="77777777" w:rsidR="004E2B4D" w:rsidRDefault="004E2B4D" w:rsidP="001050A5">
            <w:pPr>
              <w:pStyle w:val="ListParagraph"/>
              <w:numPr>
                <w:ilvl w:val="0"/>
                <w:numId w:val="3"/>
              </w:numPr>
              <w:spacing w:after="80" w:line="20" w:lineRule="atLeast"/>
              <w:rPr>
                <w:b/>
                <w:szCs w:val="24"/>
              </w:rPr>
            </w:pPr>
            <w:r>
              <w:rPr>
                <w:b/>
                <w:szCs w:val="24"/>
              </w:rPr>
              <w:t xml:space="preserve">In Australia for example, Aboriginal and Torres Strait Islander peoples represent one of the world’s longest continuous cultures </w:t>
            </w:r>
            <w:r w:rsidR="009420B2">
              <w:rPr>
                <w:b/>
                <w:szCs w:val="24"/>
              </w:rPr>
              <w:t>and have knowledge of food systems that they have been custodians of for over sixty thousand years and continue to pass this knowledge through the</w:t>
            </w:r>
            <w:r w:rsidR="00AE0C67">
              <w:rPr>
                <w:b/>
                <w:szCs w:val="24"/>
              </w:rPr>
              <w:t>ir</w:t>
            </w:r>
            <w:r w:rsidR="009420B2">
              <w:rPr>
                <w:b/>
                <w:szCs w:val="24"/>
              </w:rPr>
              <w:t xml:space="preserve"> generations. </w:t>
            </w:r>
          </w:p>
          <w:p w14:paraId="0B7C7E99" w14:textId="77777777" w:rsidR="00AE0C67" w:rsidRPr="001050A5" w:rsidRDefault="00AE0C67" w:rsidP="001050A5">
            <w:pPr>
              <w:pStyle w:val="ListParagraph"/>
              <w:numPr>
                <w:ilvl w:val="0"/>
                <w:numId w:val="3"/>
              </w:numPr>
              <w:spacing w:after="80" w:line="20" w:lineRule="atLeast"/>
              <w:rPr>
                <w:b/>
                <w:szCs w:val="24"/>
              </w:rPr>
            </w:pPr>
            <w:r>
              <w:rPr>
                <w:b/>
                <w:szCs w:val="24"/>
              </w:rPr>
              <w:t xml:space="preserve">The role of Indigenous peoples, small holders, alternative retailing (such as farmers markets) in reshaping and promoting food sustainable food systems need to be considered in the guiding principles. </w:t>
            </w:r>
          </w:p>
          <w:p w14:paraId="42117D9D" w14:textId="77777777" w:rsidR="007059C9" w:rsidRDefault="007059C9" w:rsidP="00AE0C67">
            <w:pPr>
              <w:spacing w:after="80" w:line="20" w:lineRule="atLeast"/>
              <w:rPr>
                <w:b/>
                <w:szCs w:val="24"/>
              </w:rPr>
            </w:pPr>
          </w:p>
        </w:tc>
      </w:tr>
    </w:tbl>
    <w:p w14:paraId="66900BBD"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3F1F43ED"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taking into account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14:paraId="4A960CBB" w14:textId="77777777" w:rsidTr="00990962">
        <w:trPr>
          <w:trHeight w:val="2529"/>
        </w:trPr>
        <w:tc>
          <w:tcPr>
            <w:tcW w:w="9748" w:type="dxa"/>
          </w:tcPr>
          <w:p w14:paraId="2D7DB503" w14:textId="77777777" w:rsidR="007059C9" w:rsidRDefault="007059C9" w:rsidP="00AE0C67">
            <w:pPr>
              <w:spacing w:after="80" w:line="20" w:lineRule="atLeast"/>
              <w:rPr>
                <w:b/>
                <w:szCs w:val="24"/>
              </w:rPr>
            </w:pPr>
          </w:p>
        </w:tc>
      </w:tr>
    </w:tbl>
    <w:p w14:paraId="79733733"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5419947D"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14:paraId="1672124C" w14:textId="77777777" w:rsidTr="00990962">
        <w:trPr>
          <w:trHeight w:val="2529"/>
        </w:trPr>
        <w:tc>
          <w:tcPr>
            <w:tcW w:w="9748" w:type="dxa"/>
          </w:tcPr>
          <w:p w14:paraId="7F25D9F7" w14:textId="6A30437C" w:rsidR="007059C9" w:rsidRDefault="003B4245" w:rsidP="003B4245">
            <w:pPr>
              <w:pStyle w:val="ListParagraph"/>
              <w:numPr>
                <w:ilvl w:val="0"/>
                <w:numId w:val="5"/>
              </w:numPr>
              <w:spacing w:after="80" w:line="20" w:lineRule="atLeast"/>
              <w:rPr>
                <w:b/>
                <w:szCs w:val="24"/>
              </w:rPr>
            </w:pPr>
            <w:r>
              <w:rPr>
                <w:b/>
                <w:szCs w:val="24"/>
              </w:rPr>
              <w:t>The ideal food system could be informed by the Indigenous peoples of our planet</w:t>
            </w:r>
          </w:p>
          <w:p w14:paraId="5899E98E" w14:textId="06D9CC1A" w:rsidR="003B4245" w:rsidRDefault="003B4245" w:rsidP="003B4245">
            <w:pPr>
              <w:pStyle w:val="ListParagraph"/>
              <w:numPr>
                <w:ilvl w:val="0"/>
                <w:numId w:val="5"/>
              </w:numPr>
              <w:spacing w:after="80" w:line="20" w:lineRule="atLeast"/>
              <w:rPr>
                <w:b/>
                <w:szCs w:val="24"/>
              </w:rPr>
            </w:pPr>
            <w:r>
              <w:rPr>
                <w:b/>
                <w:szCs w:val="24"/>
              </w:rPr>
              <w:t>An ideal food system would be one that is in balance with natural resource health</w:t>
            </w:r>
          </w:p>
          <w:p w14:paraId="6C77BC43" w14:textId="3EA5C2A0" w:rsidR="003B4245" w:rsidRDefault="003B4245" w:rsidP="003B4245">
            <w:pPr>
              <w:pStyle w:val="ListParagraph"/>
              <w:numPr>
                <w:ilvl w:val="0"/>
                <w:numId w:val="5"/>
              </w:numPr>
              <w:spacing w:after="80" w:line="20" w:lineRule="atLeast"/>
              <w:rPr>
                <w:b/>
                <w:szCs w:val="24"/>
              </w:rPr>
            </w:pPr>
            <w:r>
              <w:rPr>
                <w:b/>
                <w:szCs w:val="24"/>
              </w:rPr>
              <w:t>In attaining a sustainable and healthy food system, policies will be needed that reduce the availability and marketing of processed foods of poor nutritional value</w:t>
            </w:r>
          </w:p>
          <w:p w14:paraId="15508A81" w14:textId="5932A466" w:rsidR="003B4245" w:rsidRPr="003B4245" w:rsidRDefault="003B4245" w:rsidP="003B4245">
            <w:pPr>
              <w:pStyle w:val="ListParagraph"/>
              <w:spacing w:after="80" w:line="20" w:lineRule="atLeast"/>
              <w:rPr>
                <w:b/>
                <w:szCs w:val="24"/>
              </w:rPr>
            </w:pPr>
          </w:p>
          <w:p w14:paraId="6A27DDBA" w14:textId="77777777" w:rsidR="007059C9" w:rsidRDefault="007059C9" w:rsidP="00990962">
            <w:pPr>
              <w:spacing w:after="80" w:line="20" w:lineRule="atLeast"/>
              <w:rPr>
                <w:b/>
                <w:szCs w:val="24"/>
              </w:rPr>
            </w:pPr>
          </w:p>
        </w:tc>
      </w:tr>
    </w:tbl>
    <w:p w14:paraId="3134AC67"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4CC6A723"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14:paraId="58A9951D" w14:textId="77777777" w:rsidTr="00990962">
        <w:trPr>
          <w:trHeight w:val="2529"/>
        </w:trPr>
        <w:tc>
          <w:tcPr>
            <w:tcW w:w="9748" w:type="dxa"/>
          </w:tcPr>
          <w:p w14:paraId="7C06BAA2" w14:textId="60B8DE1E" w:rsidR="007059C9" w:rsidRDefault="003B4245" w:rsidP="003B4245">
            <w:pPr>
              <w:pStyle w:val="ListParagraph"/>
              <w:numPr>
                <w:ilvl w:val="0"/>
                <w:numId w:val="6"/>
              </w:numPr>
              <w:spacing w:after="80" w:line="20" w:lineRule="atLeast"/>
              <w:rPr>
                <w:b/>
                <w:szCs w:val="24"/>
              </w:rPr>
            </w:pPr>
            <w:r>
              <w:rPr>
                <w:b/>
                <w:szCs w:val="24"/>
              </w:rPr>
              <w:t>These guidelines will be most useful with practical policy examples offered with accompanying descriptions of potential risks and challenges</w:t>
            </w:r>
          </w:p>
          <w:p w14:paraId="2F2E1D4F" w14:textId="0E1278D2" w:rsidR="003B4245" w:rsidRDefault="003B4245" w:rsidP="003B4245">
            <w:pPr>
              <w:pStyle w:val="ListParagraph"/>
              <w:numPr>
                <w:ilvl w:val="0"/>
                <w:numId w:val="6"/>
              </w:numPr>
              <w:spacing w:after="80" w:line="20" w:lineRule="atLeast"/>
              <w:rPr>
                <w:b/>
                <w:szCs w:val="24"/>
              </w:rPr>
            </w:pPr>
            <w:r>
              <w:rPr>
                <w:b/>
                <w:szCs w:val="24"/>
              </w:rPr>
              <w:t>These guidelines will have the best chance of uptake if accompanied by global initiatives to support country specific policies</w:t>
            </w:r>
          </w:p>
          <w:p w14:paraId="75B1BBF8" w14:textId="20B43F62" w:rsidR="003B4245" w:rsidRDefault="003B4245" w:rsidP="003B4245">
            <w:pPr>
              <w:pStyle w:val="ListParagraph"/>
              <w:numPr>
                <w:ilvl w:val="0"/>
                <w:numId w:val="6"/>
              </w:numPr>
              <w:spacing w:after="80" w:line="20" w:lineRule="atLeast"/>
              <w:rPr>
                <w:b/>
                <w:szCs w:val="24"/>
              </w:rPr>
            </w:pPr>
            <w:r>
              <w:rPr>
                <w:b/>
                <w:szCs w:val="24"/>
              </w:rPr>
              <w:t xml:space="preserve">These guidelines will need to communicated to not only policy makers and other key stakeholders including food producers, distributors, consumers and custodians of </w:t>
            </w:r>
            <w:r w:rsidR="00DE221F">
              <w:rPr>
                <w:b/>
                <w:szCs w:val="24"/>
              </w:rPr>
              <w:t>our</w:t>
            </w:r>
            <w:r>
              <w:rPr>
                <w:b/>
                <w:szCs w:val="24"/>
              </w:rPr>
              <w:t xml:space="preserve"> natural resources</w:t>
            </w:r>
          </w:p>
          <w:p w14:paraId="3DF05237" w14:textId="39D20B51" w:rsidR="00DE221F" w:rsidRPr="00DE221F" w:rsidRDefault="00DE221F" w:rsidP="00DE221F">
            <w:pPr>
              <w:spacing w:after="80" w:line="20" w:lineRule="atLeast"/>
              <w:ind w:left="360"/>
              <w:rPr>
                <w:b/>
                <w:szCs w:val="24"/>
              </w:rPr>
            </w:pPr>
            <w:bookmarkStart w:id="0" w:name="_GoBack"/>
            <w:bookmarkEnd w:id="0"/>
          </w:p>
          <w:p w14:paraId="2932DFA6" w14:textId="77777777" w:rsidR="007059C9" w:rsidRDefault="007059C9" w:rsidP="00990962">
            <w:pPr>
              <w:spacing w:after="80" w:line="20" w:lineRule="atLeast"/>
              <w:rPr>
                <w:b/>
                <w:szCs w:val="24"/>
              </w:rPr>
            </w:pPr>
          </w:p>
          <w:p w14:paraId="1FBAB474" w14:textId="77777777" w:rsidR="007059C9" w:rsidRDefault="007059C9" w:rsidP="00990962">
            <w:pPr>
              <w:spacing w:after="80" w:line="20" w:lineRule="atLeast"/>
              <w:rPr>
                <w:b/>
                <w:szCs w:val="24"/>
              </w:rPr>
            </w:pPr>
          </w:p>
        </w:tc>
      </w:tr>
    </w:tbl>
    <w:p w14:paraId="7CCA649B" w14:textId="77777777" w:rsidR="007059C9" w:rsidRPr="007059C9" w:rsidRDefault="007059C9" w:rsidP="007059C9"/>
    <w:sectPr w:rsidR="007059C9" w:rsidRPr="007059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35F7" w14:textId="77777777" w:rsidR="007059C9" w:rsidRDefault="007059C9" w:rsidP="007059C9">
      <w:pPr>
        <w:spacing w:after="0" w:line="240" w:lineRule="auto"/>
      </w:pPr>
      <w:r>
        <w:separator/>
      </w:r>
    </w:p>
  </w:endnote>
  <w:endnote w:type="continuationSeparator" w:id="0">
    <w:p w14:paraId="46E2691E" w14:textId="77777777" w:rsidR="007059C9" w:rsidRDefault="007059C9"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5ECF" w14:textId="77777777" w:rsidR="007059C9" w:rsidRDefault="007059C9" w:rsidP="007059C9">
      <w:pPr>
        <w:spacing w:after="0" w:line="240" w:lineRule="auto"/>
      </w:pPr>
      <w:r>
        <w:separator/>
      </w:r>
    </w:p>
  </w:footnote>
  <w:footnote w:type="continuationSeparator" w:id="0">
    <w:p w14:paraId="2824206D" w14:textId="77777777" w:rsidR="007059C9" w:rsidRDefault="007059C9"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2F12" w14:textId="77777777" w:rsidR="007059C9" w:rsidRDefault="007059C9">
    <w:pPr>
      <w:pStyle w:val="Header"/>
    </w:pPr>
    <w:r w:rsidRPr="00542999">
      <w:rPr>
        <w:rFonts w:cs="Arial"/>
        <w:b/>
        <w:bCs/>
        <w:noProof/>
        <w:color w:val="B43131"/>
        <w:sz w:val="36"/>
        <w:szCs w:val="36"/>
        <w:lang w:val="en-AU" w:eastAsia="en-AU"/>
      </w:rPr>
      <w:drawing>
        <wp:anchor distT="0" distB="0" distL="114300" distR="114300" simplePos="0" relativeHeight="251659264" behindDoc="0" locked="0" layoutInCell="1" allowOverlap="1" wp14:anchorId="4096D935" wp14:editId="76179FCA">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66CA99AE" w14:textId="77777777" w:rsidR="007059C9" w:rsidRDefault="007059C9">
    <w:pPr>
      <w:pStyle w:val="Header"/>
    </w:pPr>
  </w:p>
  <w:p w14:paraId="0576A7BE" w14:textId="77777777" w:rsidR="007059C9" w:rsidRDefault="007059C9">
    <w:pPr>
      <w:pStyle w:val="Header"/>
    </w:pPr>
  </w:p>
  <w:p w14:paraId="340DDD58" w14:textId="77777777" w:rsidR="007059C9" w:rsidRDefault="007059C9">
    <w:pPr>
      <w:pStyle w:val="Header"/>
    </w:pPr>
  </w:p>
  <w:p w14:paraId="12F15116" w14:textId="77777777" w:rsidR="007059C9" w:rsidRDefault="007059C9">
    <w:pPr>
      <w:pStyle w:val="Header"/>
    </w:pPr>
  </w:p>
  <w:p w14:paraId="4EC083D8" w14:textId="77777777"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4D00"/>
    <w:multiLevelType w:val="hybridMultilevel"/>
    <w:tmpl w:val="E904C5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152AF7"/>
    <w:multiLevelType w:val="hybridMultilevel"/>
    <w:tmpl w:val="F4145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E4048D"/>
    <w:multiLevelType w:val="hybridMultilevel"/>
    <w:tmpl w:val="94A85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3C0C41"/>
    <w:multiLevelType w:val="hybridMultilevel"/>
    <w:tmpl w:val="368AB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67A2F"/>
    <w:multiLevelType w:val="hybridMultilevel"/>
    <w:tmpl w:val="BDCE05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095035"/>
    <w:rsid w:val="001050A5"/>
    <w:rsid w:val="00161F87"/>
    <w:rsid w:val="003B4245"/>
    <w:rsid w:val="004E2B4D"/>
    <w:rsid w:val="004E3B75"/>
    <w:rsid w:val="005F07F2"/>
    <w:rsid w:val="0064304E"/>
    <w:rsid w:val="00645808"/>
    <w:rsid w:val="006567BA"/>
    <w:rsid w:val="007059C9"/>
    <w:rsid w:val="007067CF"/>
    <w:rsid w:val="007E41F8"/>
    <w:rsid w:val="008748B5"/>
    <w:rsid w:val="008900AD"/>
    <w:rsid w:val="00890E90"/>
    <w:rsid w:val="009420B2"/>
    <w:rsid w:val="00A50FC8"/>
    <w:rsid w:val="00A85556"/>
    <w:rsid w:val="00AE0C67"/>
    <w:rsid w:val="00BD111F"/>
    <w:rsid w:val="00C16D66"/>
    <w:rsid w:val="00C662E0"/>
    <w:rsid w:val="00DE22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2099"/>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 w:type="character" w:styleId="Hyperlink">
    <w:name w:val="Hyperlink"/>
    <w:basedOn w:val="DefaultParagraphFont"/>
    <w:uiPriority w:val="99"/>
    <w:unhideWhenUsed/>
    <w:rsid w:val="00890E90"/>
    <w:rPr>
      <w:color w:val="0000FF"/>
      <w:u w:val="single"/>
    </w:rPr>
  </w:style>
  <w:style w:type="character" w:customStyle="1" w:styleId="UnresolvedMention1">
    <w:name w:val="Unresolved Mention1"/>
    <w:basedOn w:val="DefaultParagraphFont"/>
    <w:uiPriority w:val="99"/>
    <w:semiHidden/>
    <w:unhideWhenUsed/>
    <w:rsid w:val="00890E90"/>
    <w:rPr>
      <w:color w:val="605E5C"/>
      <w:shd w:val="clear" w:color="auto" w:fill="E1DFDD"/>
    </w:rPr>
  </w:style>
  <w:style w:type="paragraph" w:styleId="BalloonText">
    <w:name w:val="Balloon Text"/>
    <w:basedOn w:val="Normal"/>
    <w:link w:val="BalloonTextChar"/>
    <w:uiPriority w:val="99"/>
    <w:semiHidden/>
    <w:unhideWhenUsed/>
    <w:rsid w:val="0016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F87"/>
    <w:rPr>
      <w:rFonts w:ascii="Segoe UI" w:hAnsi="Segoe UI" w:cs="Segoe UI"/>
      <w:sz w:val="18"/>
      <w:szCs w:val="18"/>
    </w:rPr>
  </w:style>
  <w:style w:type="character" w:styleId="CommentReference">
    <w:name w:val="annotation reference"/>
    <w:basedOn w:val="DefaultParagraphFont"/>
    <w:uiPriority w:val="99"/>
    <w:semiHidden/>
    <w:unhideWhenUsed/>
    <w:rsid w:val="00161F87"/>
    <w:rPr>
      <w:sz w:val="16"/>
      <w:szCs w:val="16"/>
    </w:rPr>
  </w:style>
  <w:style w:type="paragraph" w:styleId="CommentText">
    <w:name w:val="annotation text"/>
    <w:basedOn w:val="Normal"/>
    <w:link w:val="CommentTextChar"/>
    <w:uiPriority w:val="99"/>
    <w:semiHidden/>
    <w:unhideWhenUsed/>
    <w:rsid w:val="00161F87"/>
    <w:pPr>
      <w:spacing w:line="240" w:lineRule="auto"/>
    </w:pPr>
    <w:rPr>
      <w:sz w:val="20"/>
      <w:szCs w:val="20"/>
    </w:rPr>
  </w:style>
  <w:style w:type="character" w:customStyle="1" w:styleId="CommentTextChar">
    <w:name w:val="Comment Text Char"/>
    <w:basedOn w:val="DefaultParagraphFont"/>
    <w:link w:val="CommentText"/>
    <w:uiPriority w:val="99"/>
    <w:semiHidden/>
    <w:rsid w:val="00161F87"/>
    <w:rPr>
      <w:sz w:val="20"/>
      <w:szCs w:val="20"/>
    </w:rPr>
  </w:style>
  <w:style w:type="paragraph" w:styleId="CommentSubject">
    <w:name w:val="annotation subject"/>
    <w:basedOn w:val="CommentText"/>
    <w:next w:val="CommentText"/>
    <w:link w:val="CommentSubjectChar"/>
    <w:uiPriority w:val="99"/>
    <w:semiHidden/>
    <w:unhideWhenUsed/>
    <w:rsid w:val="00161F87"/>
    <w:rPr>
      <w:b/>
      <w:bCs/>
    </w:rPr>
  </w:style>
  <w:style w:type="character" w:customStyle="1" w:styleId="CommentSubjectChar">
    <w:name w:val="Comment Subject Char"/>
    <w:basedOn w:val="CommentTextChar"/>
    <w:link w:val="CommentSubject"/>
    <w:uiPriority w:val="99"/>
    <w:semiHidden/>
    <w:rsid w:val="00161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lancet.com/journals/lancet/article/PIIS0140-6736(18)32822-8/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Julie Brimblecombe</cp:lastModifiedBy>
  <cp:revision>3</cp:revision>
  <dcterms:created xsi:type="dcterms:W3CDTF">2019-09-03T04:30:00Z</dcterms:created>
  <dcterms:modified xsi:type="dcterms:W3CDTF">2019-09-03T04:52:00Z</dcterms:modified>
</cp:coreProperties>
</file>