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0E3A3" w14:textId="77777777" w:rsidR="007572A9" w:rsidRDefault="007572A9" w:rsidP="000F3E84">
      <w:pPr>
        <w:spacing w:after="80" w:line="20" w:lineRule="atLeast"/>
        <w:jc w:val="both"/>
        <w:rPr>
          <w:b/>
          <w:sz w:val="24"/>
          <w:szCs w:val="24"/>
          <w:lang w:val="en-US"/>
        </w:rPr>
      </w:pPr>
      <w:r w:rsidRPr="000F3E84">
        <w:rPr>
          <w:b/>
          <w:sz w:val="24"/>
          <w:szCs w:val="24"/>
          <w:lang w:val="en-US"/>
        </w:rPr>
        <w:t xml:space="preserve">Proponent  </w:t>
      </w:r>
    </w:p>
    <w:tbl>
      <w:tblPr>
        <w:tblStyle w:val="TableGrid"/>
        <w:tblW w:w="0" w:type="auto"/>
        <w:tblLook w:val="04A0" w:firstRow="1" w:lastRow="0" w:firstColumn="1" w:lastColumn="0" w:noHBand="0" w:noVBand="1"/>
      </w:tblPr>
      <w:tblGrid>
        <w:gridCol w:w="9158"/>
      </w:tblGrid>
      <w:tr w:rsidR="000F3E84" w14:paraId="3F1ED4F9" w14:textId="77777777" w:rsidTr="000F3E84">
        <w:tc>
          <w:tcPr>
            <w:tcW w:w="9158" w:type="dxa"/>
          </w:tcPr>
          <w:p w14:paraId="4399B942" w14:textId="77777777" w:rsidR="000F3E84" w:rsidRDefault="000F3E84" w:rsidP="000F3E84">
            <w:pPr>
              <w:spacing w:after="80" w:line="20" w:lineRule="atLeast"/>
              <w:jc w:val="both"/>
              <w:rPr>
                <w:b/>
                <w:sz w:val="24"/>
                <w:szCs w:val="24"/>
                <w:lang w:val="en-US"/>
              </w:rPr>
            </w:pPr>
          </w:p>
          <w:p w14:paraId="56836369" w14:textId="36279391" w:rsidR="00EF27D3" w:rsidRPr="001862BC" w:rsidRDefault="00EF27D3" w:rsidP="000F3E84">
            <w:pPr>
              <w:spacing w:after="80" w:line="20" w:lineRule="atLeast"/>
              <w:jc w:val="both"/>
              <w:rPr>
                <w:sz w:val="24"/>
                <w:szCs w:val="24"/>
                <w:lang w:val="en-US"/>
              </w:rPr>
            </w:pPr>
            <w:r w:rsidRPr="001862BC">
              <w:rPr>
                <w:sz w:val="24"/>
                <w:szCs w:val="24"/>
                <w:lang w:val="en-US"/>
              </w:rPr>
              <w:t>FAO, in collaboration with the RUAF Foundation, is promoting city region food system</w:t>
            </w:r>
            <w:r w:rsidR="00C34B02">
              <w:rPr>
                <w:sz w:val="24"/>
                <w:szCs w:val="24"/>
                <w:lang w:val="en-US"/>
              </w:rPr>
              <w:t xml:space="preserve"> (CRFS)</w:t>
            </w:r>
            <w:r w:rsidRPr="001862BC">
              <w:rPr>
                <w:sz w:val="24"/>
                <w:szCs w:val="24"/>
                <w:lang w:val="en-US"/>
              </w:rPr>
              <w:t xml:space="preserve"> approaches, by building and implementing a methodology to strengthen and improve </w:t>
            </w:r>
            <w:r w:rsidR="00093702" w:rsidRPr="001862BC">
              <w:rPr>
                <w:sz w:val="24"/>
                <w:szCs w:val="24"/>
                <w:lang w:val="en-US"/>
              </w:rPr>
              <w:t>food systems’ sustainability and resilience at city region level.</w:t>
            </w:r>
            <w:r w:rsidRPr="001862BC">
              <w:rPr>
                <w:sz w:val="24"/>
                <w:szCs w:val="24"/>
                <w:lang w:val="en-US"/>
              </w:rPr>
              <w:t xml:space="preserve"> </w:t>
            </w:r>
          </w:p>
          <w:p w14:paraId="6BB2A2DC" w14:textId="77777777" w:rsidR="000F3E84" w:rsidRDefault="000F3E84" w:rsidP="00093702">
            <w:pPr>
              <w:spacing w:after="80" w:line="20" w:lineRule="atLeast"/>
              <w:jc w:val="both"/>
              <w:rPr>
                <w:b/>
                <w:sz w:val="24"/>
                <w:szCs w:val="24"/>
                <w:lang w:val="en-US"/>
              </w:rPr>
            </w:pPr>
          </w:p>
        </w:tc>
      </w:tr>
    </w:tbl>
    <w:p w14:paraId="1CDD2276" w14:textId="77777777" w:rsidR="000F3E84" w:rsidRPr="000F3E84" w:rsidRDefault="000F3E84" w:rsidP="000F3E84">
      <w:pPr>
        <w:spacing w:after="80" w:line="20" w:lineRule="atLeast"/>
        <w:jc w:val="both"/>
        <w:rPr>
          <w:b/>
          <w:sz w:val="24"/>
          <w:szCs w:val="24"/>
          <w:lang w:val="en-US"/>
        </w:rPr>
      </w:pPr>
    </w:p>
    <w:p w14:paraId="6A7FBFB6" w14:textId="77777777" w:rsidR="007572A9" w:rsidRPr="000F3E84" w:rsidRDefault="007572A9" w:rsidP="000F3E84">
      <w:pPr>
        <w:spacing w:after="80" w:line="20" w:lineRule="atLeast"/>
        <w:jc w:val="both"/>
        <w:rPr>
          <w:b/>
          <w:sz w:val="24"/>
          <w:szCs w:val="24"/>
          <w:lang w:val="en-US"/>
        </w:rPr>
      </w:pPr>
      <w:r w:rsidRPr="000F3E84">
        <w:rPr>
          <w:b/>
          <w:sz w:val="24"/>
          <w:szCs w:val="24"/>
          <w:lang w:val="en-US"/>
        </w:rPr>
        <w:t>Main responsible entity</w:t>
      </w:r>
    </w:p>
    <w:tbl>
      <w:tblPr>
        <w:tblStyle w:val="TableGrid"/>
        <w:tblW w:w="0" w:type="auto"/>
        <w:tblLook w:val="04A0" w:firstRow="1" w:lastRow="0" w:firstColumn="1" w:lastColumn="0" w:noHBand="0" w:noVBand="1"/>
      </w:tblPr>
      <w:tblGrid>
        <w:gridCol w:w="9158"/>
      </w:tblGrid>
      <w:tr w:rsidR="000F3E84" w14:paraId="18AA5626" w14:textId="77777777" w:rsidTr="00E53E42">
        <w:tc>
          <w:tcPr>
            <w:tcW w:w="9158" w:type="dxa"/>
          </w:tcPr>
          <w:p w14:paraId="41EAA7D2" w14:textId="77777777" w:rsidR="000F3E84" w:rsidRDefault="000F3E84" w:rsidP="000F3E84">
            <w:pPr>
              <w:spacing w:after="80" w:line="20" w:lineRule="atLeast"/>
              <w:jc w:val="both"/>
              <w:rPr>
                <w:b/>
                <w:sz w:val="24"/>
                <w:szCs w:val="24"/>
                <w:lang w:val="en-US"/>
              </w:rPr>
            </w:pPr>
          </w:p>
          <w:p w14:paraId="6235030C" w14:textId="69F5CA89" w:rsidR="000F3E84" w:rsidRPr="001862BC" w:rsidRDefault="008959B1" w:rsidP="000F3E84">
            <w:pPr>
              <w:spacing w:after="80" w:line="20" w:lineRule="atLeast"/>
              <w:jc w:val="both"/>
              <w:rPr>
                <w:sz w:val="24"/>
                <w:szCs w:val="24"/>
                <w:lang w:val="en-US"/>
              </w:rPr>
            </w:pPr>
            <w:r w:rsidRPr="001862BC">
              <w:rPr>
                <w:sz w:val="24"/>
                <w:szCs w:val="24"/>
                <w:lang w:val="en-US"/>
              </w:rPr>
              <w:t>FAO</w:t>
            </w:r>
          </w:p>
          <w:p w14:paraId="26C2C272" w14:textId="77777777" w:rsidR="000F3E84" w:rsidRDefault="000F3E84" w:rsidP="000F3E84">
            <w:pPr>
              <w:spacing w:after="80" w:line="20" w:lineRule="atLeast"/>
              <w:jc w:val="both"/>
              <w:rPr>
                <w:b/>
                <w:sz w:val="24"/>
                <w:szCs w:val="24"/>
                <w:lang w:val="en-US"/>
              </w:rPr>
            </w:pPr>
          </w:p>
        </w:tc>
      </w:tr>
    </w:tbl>
    <w:p w14:paraId="59B7B543" w14:textId="77777777" w:rsidR="000F3E84" w:rsidRPr="000F3E84" w:rsidRDefault="000F3E84" w:rsidP="000F3E84">
      <w:pPr>
        <w:spacing w:after="80" w:line="20" w:lineRule="atLeast"/>
        <w:jc w:val="both"/>
        <w:rPr>
          <w:b/>
          <w:sz w:val="24"/>
          <w:szCs w:val="24"/>
          <w:lang w:val="en-US"/>
        </w:rPr>
      </w:pPr>
    </w:p>
    <w:p w14:paraId="77B1B3C9" w14:textId="77777777" w:rsidR="007572A9" w:rsidRPr="000F3E84" w:rsidRDefault="007572A9" w:rsidP="000F3E84">
      <w:pPr>
        <w:spacing w:after="80" w:line="20" w:lineRule="atLeast"/>
        <w:jc w:val="both"/>
        <w:rPr>
          <w:b/>
          <w:sz w:val="24"/>
          <w:szCs w:val="24"/>
          <w:lang w:val="en-US"/>
        </w:rPr>
      </w:pPr>
      <w:r w:rsidRPr="000F3E84">
        <w:rPr>
          <w:b/>
          <w:sz w:val="24"/>
          <w:szCs w:val="24"/>
          <w:lang w:val="en-US"/>
        </w:rPr>
        <w:t>Date/Timeframe</w:t>
      </w:r>
    </w:p>
    <w:tbl>
      <w:tblPr>
        <w:tblStyle w:val="TableGrid"/>
        <w:tblW w:w="0" w:type="auto"/>
        <w:tblLook w:val="04A0" w:firstRow="1" w:lastRow="0" w:firstColumn="1" w:lastColumn="0" w:noHBand="0" w:noVBand="1"/>
      </w:tblPr>
      <w:tblGrid>
        <w:gridCol w:w="9158"/>
      </w:tblGrid>
      <w:tr w:rsidR="000F3E84" w14:paraId="595F01F7" w14:textId="77777777" w:rsidTr="00E53E42">
        <w:tc>
          <w:tcPr>
            <w:tcW w:w="9158" w:type="dxa"/>
          </w:tcPr>
          <w:p w14:paraId="774B2E29" w14:textId="77777777" w:rsidR="000F3E84" w:rsidRDefault="000F3E84" w:rsidP="000F3E84">
            <w:pPr>
              <w:spacing w:after="80" w:line="20" w:lineRule="atLeast"/>
              <w:jc w:val="both"/>
              <w:rPr>
                <w:b/>
                <w:sz w:val="24"/>
                <w:szCs w:val="24"/>
                <w:lang w:val="en-US"/>
              </w:rPr>
            </w:pPr>
          </w:p>
          <w:p w14:paraId="1A36DCBF" w14:textId="4A38C04A" w:rsidR="000F3E84" w:rsidRPr="001862BC" w:rsidRDefault="008959B1" w:rsidP="000F3E84">
            <w:pPr>
              <w:spacing w:after="80" w:line="20" w:lineRule="atLeast"/>
              <w:jc w:val="both"/>
              <w:rPr>
                <w:sz w:val="24"/>
                <w:szCs w:val="24"/>
                <w:lang w:val="en-US"/>
              </w:rPr>
            </w:pPr>
            <w:r w:rsidRPr="001862BC">
              <w:rPr>
                <w:sz w:val="24"/>
                <w:szCs w:val="24"/>
                <w:lang w:val="en-US"/>
              </w:rPr>
              <w:t>3 years</w:t>
            </w:r>
            <w:r w:rsidR="00093702" w:rsidRPr="001862BC">
              <w:rPr>
                <w:sz w:val="24"/>
                <w:szCs w:val="24"/>
                <w:lang w:val="en-US"/>
              </w:rPr>
              <w:t>: 2014-2017</w:t>
            </w:r>
          </w:p>
          <w:p w14:paraId="45BF5CFC" w14:textId="77777777" w:rsidR="000F3E84" w:rsidRDefault="000F3E84" w:rsidP="000F3E84">
            <w:pPr>
              <w:spacing w:after="80" w:line="20" w:lineRule="atLeast"/>
              <w:jc w:val="both"/>
              <w:rPr>
                <w:b/>
                <w:sz w:val="24"/>
                <w:szCs w:val="24"/>
                <w:lang w:val="en-US"/>
              </w:rPr>
            </w:pPr>
          </w:p>
        </w:tc>
      </w:tr>
    </w:tbl>
    <w:p w14:paraId="2CDB5971" w14:textId="77777777" w:rsidR="000F3E84" w:rsidRPr="000F3E84" w:rsidRDefault="000F3E84" w:rsidP="000F3E84">
      <w:pPr>
        <w:spacing w:after="80" w:line="20" w:lineRule="atLeast"/>
        <w:jc w:val="both"/>
        <w:rPr>
          <w:b/>
          <w:sz w:val="24"/>
          <w:szCs w:val="24"/>
          <w:lang w:val="en-US"/>
        </w:rPr>
      </w:pPr>
    </w:p>
    <w:p w14:paraId="76030F6D" w14:textId="77777777" w:rsidR="007572A9" w:rsidRPr="000F3E84" w:rsidRDefault="007572A9" w:rsidP="000F3E84">
      <w:pPr>
        <w:spacing w:after="80" w:line="20" w:lineRule="atLeast"/>
        <w:jc w:val="both"/>
        <w:rPr>
          <w:b/>
          <w:sz w:val="24"/>
          <w:szCs w:val="24"/>
          <w:lang w:val="en-US"/>
        </w:rPr>
      </w:pPr>
      <w:r w:rsidRPr="000F3E84">
        <w:rPr>
          <w:b/>
          <w:sz w:val="24"/>
          <w:szCs w:val="24"/>
          <w:lang w:val="en-US"/>
        </w:rPr>
        <w:t>Funding source</w:t>
      </w:r>
    </w:p>
    <w:tbl>
      <w:tblPr>
        <w:tblStyle w:val="TableGrid"/>
        <w:tblW w:w="0" w:type="auto"/>
        <w:tblLook w:val="04A0" w:firstRow="1" w:lastRow="0" w:firstColumn="1" w:lastColumn="0" w:noHBand="0" w:noVBand="1"/>
      </w:tblPr>
      <w:tblGrid>
        <w:gridCol w:w="9158"/>
      </w:tblGrid>
      <w:tr w:rsidR="000F3E84" w:rsidRPr="00C50600" w14:paraId="376D5D62" w14:textId="77777777" w:rsidTr="00E53E42">
        <w:tc>
          <w:tcPr>
            <w:tcW w:w="9158" w:type="dxa"/>
          </w:tcPr>
          <w:p w14:paraId="6E73BE75" w14:textId="77777777" w:rsidR="000F3E84" w:rsidRDefault="000F3E84" w:rsidP="000F3E84">
            <w:pPr>
              <w:spacing w:after="80" w:line="20" w:lineRule="atLeast"/>
              <w:jc w:val="both"/>
              <w:rPr>
                <w:b/>
                <w:sz w:val="24"/>
                <w:szCs w:val="24"/>
                <w:lang w:val="en-US"/>
              </w:rPr>
            </w:pPr>
          </w:p>
          <w:p w14:paraId="695E8410" w14:textId="55A73532" w:rsidR="000F3E84" w:rsidRPr="001862BC" w:rsidRDefault="00093702" w:rsidP="000F3E84">
            <w:pPr>
              <w:spacing w:after="80" w:line="20" w:lineRule="atLeast"/>
              <w:jc w:val="both"/>
              <w:rPr>
                <w:sz w:val="24"/>
                <w:szCs w:val="24"/>
                <w:lang w:val="en-US"/>
              </w:rPr>
            </w:pPr>
            <w:r w:rsidRPr="001862BC">
              <w:rPr>
                <w:sz w:val="24"/>
                <w:szCs w:val="24"/>
                <w:lang w:val="en-US"/>
              </w:rPr>
              <w:t>Federal Ministry of Food and Agriculture of Germany: implementation in Colombo (Sri Lanka), Lusaka and Kitwe (Zambia).</w:t>
            </w:r>
          </w:p>
          <w:p w14:paraId="118DAA07" w14:textId="0AB099E8" w:rsidR="008959B1" w:rsidRPr="00C50600" w:rsidRDefault="008959B1" w:rsidP="000F3E84">
            <w:pPr>
              <w:spacing w:after="80" w:line="20" w:lineRule="atLeast"/>
              <w:jc w:val="both"/>
              <w:rPr>
                <w:sz w:val="24"/>
                <w:szCs w:val="24"/>
                <w:lang w:val="en-US"/>
              </w:rPr>
            </w:pPr>
            <w:r w:rsidRPr="00C50600">
              <w:rPr>
                <w:sz w:val="24"/>
                <w:szCs w:val="24"/>
                <w:lang w:val="en-US"/>
              </w:rPr>
              <w:t>FAO</w:t>
            </w:r>
            <w:r w:rsidR="00093702" w:rsidRPr="00C50600">
              <w:rPr>
                <w:sz w:val="24"/>
                <w:szCs w:val="24"/>
                <w:lang w:val="en-US"/>
              </w:rPr>
              <w:t>: implementation in Medellin (Colombia)</w:t>
            </w:r>
          </w:p>
          <w:p w14:paraId="69FD59DD" w14:textId="77777777" w:rsidR="000F3E84" w:rsidRPr="00C50600" w:rsidRDefault="000F3E84" w:rsidP="000F3E84">
            <w:pPr>
              <w:spacing w:after="80" w:line="20" w:lineRule="atLeast"/>
              <w:jc w:val="both"/>
              <w:rPr>
                <w:b/>
                <w:sz w:val="24"/>
                <w:szCs w:val="24"/>
                <w:lang w:val="en-US"/>
              </w:rPr>
            </w:pPr>
          </w:p>
        </w:tc>
      </w:tr>
    </w:tbl>
    <w:p w14:paraId="79A45A3B" w14:textId="77777777" w:rsidR="000F3E84" w:rsidRPr="00C50600" w:rsidRDefault="000F3E84" w:rsidP="000F3E84">
      <w:pPr>
        <w:spacing w:after="80" w:line="20" w:lineRule="atLeast"/>
        <w:jc w:val="both"/>
        <w:rPr>
          <w:b/>
          <w:sz w:val="24"/>
          <w:szCs w:val="24"/>
          <w:lang w:val="en-US"/>
        </w:rPr>
      </w:pPr>
    </w:p>
    <w:p w14:paraId="31267D46" w14:textId="77777777" w:rsidR="007572A9" w:rsidRPr="000F3E84" w:rsidRDefault="007572A9" w:rsidP="000F3E84">
      <w:pPr>
        <w:spacing w:after="80" w:line="20" w:lineRule="atLeast"/>
        <w:jc w:val="both"/>
        <w:rPr>
          <w:b/>
          <w:sz w:val="24"/>
          <w:szCs w:val="24"/>
          <w:lang w:val="en-US"/>
        </w:rPr>
      </w:pPr>
      <w:r w:rsidRPr="000F3E84">
        <w:rPr>
          <w:b/>
          <w:sz w:val="24"/>
          <w:szCs w:val="24"/>
          <w:lang w:val="en-US"/>
        </w:rPr>
        <w:t xml:space="preserve">Location </w:t>
      </w:r>
    </w:p>
    <w:tbl>
      <w:tblPr>
        <w:tblStyle w:val="TableGrid"/>
        <w:tblW w:w="0" w:type="auto"/>
        <w:tblLook w:val="04A0" w:firstRow="1" w:lastRow="0" w:firstColumn="1" w:lastColumn="0" w:noHBand="0" w:noVBand="1"/>
      </w:tblPr>
      <w:tblGrid>
        <w:gridCol w:w="9158"/>
      </w:tblGrid>
      <w:tr w:rsidR="000F3E84" w14:paraId="50F9124B" w14:textId="77777777" w:rsidTr="00E53E42">
        <w:tc>
          <w:tcPr>
            <w:tcW w:w="9158" w:type="dxa"/>
          </w:tcPr>
          <w:p w14:paraId="2CA0B960" w14:textId="5A56130E" w:rsidR="000F3E84" w:rsidRDefault="000F3E84" w:rsidP="000F3E84">
            <w:pPr>
              <w:spacing w:after="80" w:line="20" w:lineRule="atLeast"/>
              <w:jc w:val="both"/>
              <w:rPr>
                <w:b/>
                <w:sz w:val="24"/>
                <w:szCs w:val="24"/>
                <w:lang w:val="en-US"/>
              </w:rPr>
            </w:pPr>
          </w:p>
          <w:p w14:paraId="2CF474A3" w14:textId="737E6258" w:rsidR="000F3E84" w:rsidRPr="001862BC" w:rsidRDefault="00093702" w:rsidP="000F3E84">
            <w:pPr>
              <w:spacing w:after="80" w:line="20" w:lineRule="atLeast"/>
              <w:jc w:val="both"/>
              <w:rPr>
                <w:sz w:val="24"/>
                <w:szCs w:val="24"/>
                <w:lang w:val="en-US"/>
              </w:rPr>
            </w:pPr>
            <w:r w:rsidRPr="001862BC">
              <w:rPr>
                <w:sz w:val="24"/>
                <w:szCs w:val="24"/>
                <w:lang w:val="en-US"/>
              </w:rPr>
              <w:t>G</w:t>
            </w:r>
            <w:r w:rsidR="008959B1" w:rsidRPr="001862BC">
              <w:rPr>
                <w:sz w:val="24"/>
                <w:szCs w:val="24"/>
                <w:lang w:val="en-US"/>
              </w:rPr>
              <w:t>lobal</w:t>
            </w:r>
            <w:r w:rsidRPr="001862BC">
              <w:rPr>
                <w:sz w:val="24"/>
                <w:szCs w:val="24"/>
                <w:lang w:val="en-US"/>
              </w:rPr>
              <w:t>:</w:t>
            </w:r>
          </w:p>
          <w:p w14:paraId="528FC30D" w14:textId="41E0CB59" w:rsidR="00093702" w:rsidRPr="001862BC" w:rsidRDefault="00093702" w:rsidP="00093702">
            <w:pPr>
              <w:pStyle w:val="ListParagraph"/>
              <w:numPr>
                <w:ilvl w:val="0"/>
                <w:numId w:val="2"/>
              </w:numPr>
              <w:spacing w:after="80" w:line="20" w:lineRule="atLeast"/>
              <w:jc w:val="both"/>
              <w:rPr>
                <w:sz w:val="24"/>
                <w:szCs w:val="24"/>
                <w:lang w:val="en-US"/>
              </w:rPr>
            </w:pPr>
            <w:r w:rsidRPr="001862BC">
              <w:rPr>
                <w:sz w:val="24"/>
                <w:szCs w:val="24"/>
                <w:lang w:val="en-US"/>
              </w:rPr>
              <w:t>Colombo, Sri Lanka</w:t>
            </w:r>
          </w:p>
          <w:p w14:paraId="4C9F71F4" w14:textId="77777777" w:rsidR="00093702" w:rsidRPr="001862BC" w:rsidRDefault="00093702" w:rsidP="00093702">
            <w:pPr>
              <w:pStyle w:val="ListParagraph"/>
              <w:numPr>
                <w:ilvl w:val="0"/>
                <w:numId w:val="2"/>
              </w:numPr>
              <w:spacing w:after="80" w:line="20" w:lineRule="atLeast"/>
              <w:jc w:val="both"/>
              <w:rPr>
                <w:sz w:val="24"/>
                <w:szCs w:val="24"/>
                <w:lang w:val="en-US"/>
              </w:rPr>
            </w:pPr>
            <w:r w:rsidRPr="001862BC">
              <w:rPr>
                <w:sz w:val="24"/>
                <w:szCs w:val="24"/>
                <w:lang w:val="en-US"/>
              </w:rPr>
              <w:t>Lusaka, Zambia</w:t>
            </w:r>
          </w:p>
          <w:p w14:paraId="0356D9BC" w14:textId="77777777" w:rsidR="00093702" w:rsidRPr="001862BC" w:rsidRDefault="00093702" w:rsidP="00093702">
            <w:pPr>
              <w:pStyle w:val="ListParagraph"/>
              <w:numPr>
                <w:ilvl w:val="0"/>
                <w:numId w:val="2"/>
              </w:numPr>
              <w:spacing w:after="80" w:line="20" w:lineRule="atLeast"/>
              <w:jc w:val="both"/>
              <w:rPr>
                <w:sz w:val="24"/>
                <w:szCs w:val="24"/>
                <w:lang w:val="en-US"/>
              </w:rPr>
            </w:pPr>
            <w:r w:rsidRPr="001862BC">
              <w:rPr>
                <w:sz w:val="24"/>
                <w:szCs w:val="24"/>
                <w:lang w:val="en-US"/>
              </w:rPr>
              <w:t>Kitwe, Zambia</w:t>
            </w:r>
          </w:p>
          <w:p w14:paraId="2ED91DB9" w14:textId="01E38F82" w:rsidR="00093702" w:rsidRPr="001862BC" w:rsidRDefault="00093702" w:rsidP="00093702">
            <w:pPr>
              <w:pStyle w:val="ListParagraph"/>
              <w:numPr>
                <w:ilvl w:val="0"/>
                <w:numId w:val="2"/>
              </w:numPr>
              <w:spacing w:after="80" w:line="20" w:lineRule="atLeast"/>
              <w:jc w:val="both"/>
              <w:rPr>
                <w:sz w:val="24"/>
                <w:szCs w:val="24"/>
                <w:lang w:val="en-US"/>
              </w:rPr>
            </w:pPr>
            <w:r w:rsidRPr="001862BC">
              <w:rPr>
                <w:sz w:val="24"/>
                <w:szCs w:val="24"/>
                <w:lang w:val="en-US"/>
              </w:rPr>
              <w:t xml:space="preserve">Medellin, Colombia </w:t>
            </w:r>
          </w:p>
          <w:p w14:paraId="392B661C" w14:textId="77777777" w:rsidR="000F3E84" w:rsidRDefault="000F3E84" w:rsidP="000F3E84">
            <w:pPr>
              <w:spacing w:after="80" w:line="20" w:lineRule="atLeast"/>
              <w:jc w:val="both"/>
              <w:rPr>
                <w:b/>
                <w:sz w:val="24"/>
                <w:szCs w:val="24"/>
                <w:lang w:val="en-US"/>
              </w:rPr>
            </w:pPr>
          </w:p>
        </w:tc>
      </w:tr>
    </w:tbl>
    <w:p w14:paraId="7E3FA414" w14:textId="77777777" w:rsidR="000F3E84" w:rsidRPr="000F3E84" w:rsidRDefault="000F3E84" w:rsidP="000F3E84">
      <w:pPr>
        <w:spacing w:after="80" w:line="20" w:lineRule="atLeast"/>
        <w:jc w:val="both"/>
        <w:rPr>
          <w:b/>
          <w:sz w:val="24"/>
          <w:szCs w:val="24"/>
          <w:lang w:val="en-US"/>
        </w:rPr>
      </w:pPr>
    </w:p>
    <w:p w14:paraId="114E7D21" w14:textId="77777777" w:rsidR="00BA2029" w:rsidRDefault="00BA2029" w:rsidP="000F3E84">
      <w:pPr>
        <w:spacing w:after="80" w:line="20" w:lineRule="atLeast"/>
        <w:jc w:val="both"/>
        <w:rPr>
          <w:b/>
          <w:sz w:val="24"/>
          <w:szCs w:val="24"/>
          <w:lang w:val="en-US"/>
        </w:rPr>
      </w:pPr>
    </w:p>
    <w:p w14:paraId="6A86957D" w14:textId="77777777" w:rsidR="007572A9" w:rsidRPr="000F3E84" w:rsidRDefault="007572A9" w:rsidP="000F3E84">
      <w:pPr>
        <w:spacing w:after="80" w:line="20" w:lineRule="atLeast"/>
        <w:jc w:val="both"/>
        <w:rPr>
          <w:b/>
          <w:sz w:val="24"/>
          <w:szCs w:val="24"/>
          <w:lang w:val="en-US"/>
        </w:rPr>
      </w:pPr>
      <w:r w:rsidRPr="000F3E84">
        <w:rPr>
          <w:b/>
          <w:sz w:val="24"/>
          <w:szCs w:val="24"/>
          <w:lang w:val="en-US"/>
        </w:rPr>
        <w:lastRenderedPageBreak/>
        <w:t>Background/Context</w:t>
      </w:r>
    </w:p>
    <w:tbl>
      <w:tblPr>
        <w:tblStyle w:val="TableGrid"/>
        <w:tblW w:w="0" w:type="auto"/>
        <w:tblLook w:val="04A0" w:firstRow="1" w:lastRow="0" w:firstColumn="1" w:lastColumn="0" w:noHBand="0" w:noVBand="1"/>
      </w:tblPr>
      <w:tblGrid>
        <w:gridCol w:w="9158"/>
      </w:tblGrid>
      <w:tr w:rsidR="000F3E84" w14:paraId="62175309" w14:textId="77777777" w:rsidTr="00E53E42">
        <w:tc>
          <w:tcPr>
            <w:tcW w:w="9158" w:type="dxa"/>
          </w:tcPr>
          <w:p w14:paraId="4821D0EC" w14:textId="77777777" w:rsidR="000F3E84" w:rsidRDefault="000F3E84" w:rsidP="000F3E84">
            <w:pPr>
              <w:spacing w:after="80" w:line="20" w:lineRule="atLeast"/>
              <w:jc w:val="both"/>
              <w:rPr>
                <w:b/>
                <w:sz w:val="24"/>
                <w:szCs w:val="24"/>
                <w:lang w:val="en-US"/>
              </w:rPr>
            </w:pPr>
          </w:p>
          <w:p w14:paraId="4C4EAC91" w14:textId="42834DD4" w:rsidR="00093702" w:rsidRPr="00275773" w:rsidRDefault="00093702" w:rsidP="00093702">
            <w:pPr>
              <w:spacing w:after="120"/>
              <w:jc w:val="both"/>
              <w:rPr>
                <w:color w:val="808080" w:themeColor="background1" w:themeShade="80"/>
                <w:sz w:val="24"/>
              </w:rPr>
            </w:pPr>
            <w:r w:rsidRPr="00275773">
              <w:rPr>
                <w:sz w:val="24"/>
              </w:rPr>
              <w:t>At present more than 50 percent of the world’s population is living in urban areas and it is expected to rise to 70 percent by 2050, especially in the developing world</w:t>
            </w:r>
            <w:r w:rsidR="00C34B02">
              <w:rPr>
                <w:rStyle w:val="FootnoteReference"/>
              </w:rPr>
              <w:footnoteReference w:id="1"/>
            </w:r>
            <w:r w:rsidRPr="00275773">
              <w:rPr>
                <w:sz w:val="24"/>
              </w:rPr>
              <w:t xml:space="preserve"> The transformation of food supply systems that has occurred in the last 60 years has led to a multi</w:t>
            </w:r>
            <w:r w:rsidR="001862BC" w:rsidRPr="00275773">
              <w:rPr>
                <w:sz w:val="24"/>
              </w:rPr>
              <w:t xml:space="preserve">dimensional rural-urban divide, contributing to </w:t>
            </w:r>
            <w:r w:rsidRPr="00275773">
              <w:rPr>
                <w:sz w:val="24"/>
              </w:rPr>
              <w:t>broader issues, such as food and nutrition insecurity in the cities, urban and rural poverty, difficult living conditions and unsustainable natural resources management</w:t>
            </w:r>
            <w:r w:rsidR="00C34B02">
              <w:rPr>
                <w:rStyle w:val="FootnoteReference"/>
              </w:rPr>
              <w:footnoteReference w:id="2"/>
            </w:r>
            <w:r w:rsidRPr="00275773">
              <w:rPr>
                <w:sz w:val="24"/>
              </w:rPr>
              <w:t xml:space="preserve">. </w:t>
            </w:r>
          </w:p>
          <w:p w14:paraId="013F123E" w14:textId="7E2EB874" w:rsidR="00093702" w:rsidRPr="00275773" w:rsidRDefault="00093702" w:rsidP="00093702">
            <w:pPr>
              <w:spacing w:after="120"/>
              <w:jc w:val="both"/>
              <w:rPr>
                <w:sz w:val="24"/>
              </w:rPr>
            </w:pPr>
            <w:r w:rsidRPr="00275773">
              <w:rPr>
                <w:sz w:val="24"/>
              </w:rPr>
              <w:t>Food system governance and planning has for a long time been absent in urban p</w:t>
            </w:r>
            <w:r w:rsidR="00C34B02">
              <w:rPr>
                <w:sz w:val="24"/>
              </w:rPr>
              <w:t>lanning and city policy making</w:t>
            </w:r>
            <w:r w:rsidR="00C34B02">
              <w:rPr>
                <w:rStyle w:val="FootnoteReference"/>
              </w:rPr>
              <w:footnoteReference w:id="3"/>
            </w:r>
            <w:r w:rsidR="00C34B02">
              <w:rPr>
                <w:sz w:val="24"/>
              </w:rPr>
              <w:t xml:space="preserve">. </w:t>
            </w:r>
            <w:r w:rsidRPr="00275773">
              <w:rPr>
                <w:sz w:val="24"/>
              </w:rPr>
              <w:t xml:space="preserve">Nevertheless, city and metropolitan governments have started prominently and actively to take part in local and (inter)national dialogue on the future of urban food security and nutrition. Moreover, cities, with their key role in shaping rural areas, represent a relevant governance scale to contribute in solving broader issues affecting both urban and rural areas. </w:t>
            </w:r>
            <w:r w:rsidRPr="00275773">
              <w:rPr>
                <w:rFonts w:eastAsia="Calibri"/>
                <w:sz w:val="24"/>
              </w:rPr>
              <w:t xml:space="preserve">In addition, food systems are closely related to a number of activities and management of public services carried out across different sectors of local and regional governmental decision-making, including food and organic waste management; public health; transport; markets; enterprise creation in the food system, consumption and food insecurity/malnutrition, land use planning, and climate change adaptation strategies amongst others. </w:t>
            </w:r>
          </w:p>
          <w:p w14:paraId="6BAB86A6" w14:textId="67ABB36A" w:rsidR="00093702" w:rsidRPr="00275773" w:rsidRDefault="00093702" w:rsidP="00093702">
            <w:pPr>
              <w:spacing w:after="120"/>
              <w:jc w:val="both"/>
              <w:rPr>
                <w:rFonts w:eastAsia="Calibri"/>
                <w:sz w:val="24"/>
              </w:rPr>
            </w:pPr>
            <w:r w:rsidRPr="00275773">
              <w:rPr>
                <w:sz w:val="24"/>
              </w:rPr>
              <w:t>A city-region perspective, associated with a food system outlook, represents a relevant and efficient approach to address broad challenges impacting both urban and rural areas and dwellers, and build more resilient, fair and sustainable territories.</w:t>
            </w:r>
            <w:r w:rsidRPr="00275773">
              <w:rPr>
                <w:color w:val="808080" w:themeColor="background1" w:themeShade="80"/>
                <w:sz w:val="24"/>
              </w:rPr>
              <w:t xml:space="preserve"> </w:t>
            </w:r>
            <w:r w:rsidRPr="00275773">
              <w:rPr>
                <w:sz w:val="24"/>
              </w:rPr>
              <w:t>T</w:t>
            </w:r>
            <w:r w:rsidRPr="00275773">
              <w:rPr>
                <w:rFonts w:eastAsia="Batang"/>
                <w:bCs/>
                <w:sz w:val="24"/>
              </w:rPr>
              <w:t xml:space="preserve">here is the need to enable local authorities to ensure sustainable and resilient food systems at a city region scale, by strengthening urban-rural linkages and enabling the involvement of all key local stakeholders, with particular attention to smallholder farmers, urban </w:t>
            </w:r>
            <w:r w:rsidRPr="00275773">
              <w:rPr>
                <w:sz w:val="24"/>
              </w:rPr>
              <w:t xml:space="preserve">dwellers, and local authorities. </w:t>
            </w:r>
          </w:p>
          <w:p w14:paraId="5771B492" w14:textId="0C490FCD" w:rsidR="000F3E84" w:rsidRPr="00275773" w:rsidRDefault="00093702" w:rsidP="001862BC">
            <w:pPr>
              <w:spacing w:after="120"/>
              <w:jc w:val="both"/>
              <w:rPr>
                <w:sz w:val="24"/>
              </w:rPr>
            </w:pPr>
            <w:r w:rsidRPr="00275773">
              <w:rPr>
                <w:sz w:val="24"/>
              </w:rPr>
              <w:t>In recent years, the concept of City Region Food Syst</w:t>
            </w:r>
            <w:r w:rsidR="00C34B02">
              <w:rPr>
                <w:sz w:val="24"/>
              </w:rPr>
              <w:t>em</w:t>
            </w:r>
            <w:r w:rsidRPr="00275773">
              <w:rPr>
                <w:sz w:val="24"/>
              </w:rPr>
              <w:t xml:space="preserve"> </w:t>
            </w:r>
            <w:r w:rsidR="00E53E42">
              <w:rPr>
                <w:sz w:val="24"/>
              </w:rPr>
              <w:t xml:space="preserve">(CRFS) </w:t>
            </w:r>
            <w:r w:rsidRPr="00275773">
              <w:rPr>
                <w:sz w:val="24"/>
              </w:rPr>
              <w:t xml:space="preserve">has emerged to go beyond the classic urban and rural divide, and take into account environmental and socio-economic aspects for more resilient and sustainable food systems. FAO and RUAF have developed an approach to operationalize the concept of CRFS in a number of pilot cities at global level. </w:t>
            </w:r>
          </w:p>
          <w:p w14:paraId="6F852633" w14:textId="3577FEAB" w:rsidR="001862BC" w:rsidRPr="001862BC" w:rsidRDefault="001862BC" w:rsidP="001862BC">
            <w:pPr>
              <w:spacing w:after="120"/>
              <w:jc w:val="both"/>
            </w:pPr>
          </w:p>
        </w:tc>
      </w:tr>
    </w:tbl>
    <w:p w14:paraId="5498D431" w14:textId="77777777" w:rsidR="00525A94" w:rsidRPr="000F3E84" w:rsidRDefault="00525A94" w:rsidP="000F3E84">
      <w:pPr>
        <w:spacing w:after="80" w:line="20" w:lineRule="atLeast"/>
        <w:jc w:val="both"/>
        <w:rPr>
          <w:b/>
          <w:sz w:val="24"/>
          <w:szCs w:val="24"/>
          <w:lang w:val="en-US"/>
        </w:rPr>
      </w:pPr>
    </w:p>
    <w:p w14:paraId="341DB8F3" w14:textId="77777777" w:rsidR="007572A9" w:rsidRDefault="007572A9" w:rsidP="000F3E84">
      <w:pPr>
        <w:spacing w:after="80" w:line="20" w:lineRule="atLeast"/>
        <w:jc w:val="both"/>
        <w:rPr>
          <w:b/>
          <w:sz w:val="24"/>
          <w:szCs w:val="24"/>
          <w:lang w:val="en-US"/>
        </w:rPr>
      </w:pPr>
      <w:r w:rsidRPr="000F3E84">
        <w:rPr>
          <w:b/>
          <w:sz w:val="24"/>
          <w:szCs w:val="24"/>
          <w:lang w:val="en-US"/>
        </w:rPr>
        <w:t>Focus/Objectives</w:t>
      </w:r>
    </w:p>
    <w:tbl>
      <w:tblPr>
        <w:tblStyle w:val="TableGrid"/>
        <w:tblW w:w="0" w:type="auto"/>
        <w:tblLook w:val="04A0" w:firstRow="1" w:lastRow="0" w:firstColumn="1" w:lastColumn="0" w:noHBand="0" w:noVBand="1"/>
      </w:tblPr>
      <w:tblGrid>
        <w:gridCol w:w="9158"/>
      </w:tblGrid>
      <w:tr w:rsidR="000F3E84" w14:paraId="0D32AB40" w14:textId="77777777" w:rsidTr="00E53E42">
        <w:tc>
          <w:tcPr>
            <w:tcW w:w="9158" w:type="dxa"/>
          </w:tcPr>
          <w:p w14:paraId="734D0B7B" w14:textId="52CB71B5" w:rsidR="000F3E84" w:rsidRPr="00275773" w:rsidRDefault="000F3E84" w:rsidP="000F3E84">
            <w:pPr>
              <w:spacing w:after="80" w:line="20" w:lineRule="atLeast"/>
              <w:jc w:val="both"/>
              <w:rPr>
                <w:b/>
                <w:sz w:val="28"/>
                <w:szCs w:val="24"/>
                <w:lang w:val="en-US"/>
              </w:rPr>
            </w:pPr>
          </w:p>
          <w:p w14:paraId="6DBE5947" w14:textId="4C996B47" w:rsidR="000F3E84" w:rsidRPr="00275773" w:rsidRDefault="009879C4" w:rsidP="009879C4">
            <w:pPr>
              <w:spacing w:line="20" w:lineRule="atLeast"/>
              <w:jc w:val="both"/>
              <w:rPr>
                <w:b/>
                <w:sz w:val="28"/>
                <w:szCs w:val="24"/>
                <w:lang w:val="en-US"/>
              </w:rPr>
            </w:pPr>
            <w:r w:rsidRPr="00275773">
              <w:rPr>
                <w:sz w:val="24"/>
              </w:rPr>
              <w:t>A City Region Food Systems approach foster</w:t>
            </w:r>
            <w:r w:rsidR="00E53E42">
              <w:rPr>
                <w:sz w:val="24"/>
              </w:rPr>
              <w:t>s</w:t>
            </w:r>
            <w:r w:rsidRPr="00275773">
              <w:rPr>
                <w:sz w:val="24"/>
              </w:rPr>
              <w:t xml:space="preserve"> the development of resilient and sustainable food systems within urban centres, peri-urban and rural areas surrounding cities by strengthening rural-urban linkages.</w:t>
            </w:r>
          </w:p>
          <w:p w14:paraId="5D8F39EB" w14:textId="77777777" w:rsidR="009879C4" w:rsidRPr="00275773" w:rsidRDefault="009879C4" w:rsidP="009879C4">
            <w:pPr>
              <w:rPr>
                <w:sz w:val="24"/>
              </w:rPr>
            </w:pPr>
            <w:r w:rsidRPr="00275773">
              <w:rPr>
                <w:sz w:val="24"/>
                <w:lang w:val="en-US"/>
              </w:rPr>
              <w:t>In collaboration in the RUAF Foundation, FAO seeks to build sustainable and resilient city region by:</w:t>
            </w:r>
            <w:r w:rsidRPr="00275773">
              <w:rPr>
                <w:sz w:val="24"/>
              </w:rPr>
              <w:t xml:space="preserve"> </w:t>
            </w:r>
          </w:p>
          <w:p w14:paraId="76511DC9" w14:textId="77777777" w:rsidR="009879C4" w:rsidRPr="00275773" w:rsidRDefault="009879C4" w:rsidP="009879C4">
            <w:pPr>
              <w:pStyle w:val="ListParagraph"/>
              <w:numPr>
                <w:ilvl w:val="0"/>
                <w:numId w:val="4"/>
              </w:numPr>
              <w:spacing w:after="0" w:line="240" w:lineRule="auto"/>
              <w:rPr>
                <w:rFonts w:eastAsia="Times New Roman" w:cs="Times New Roman"/>
                <w:sz w:val="24"/>
                <w:lang w:val="en-US"/>
              </w:rPr>
            </w:pPr>
            <w:r w:rsidRPr="00275773">
              <w:rPr>
                <w:rFonts w:eastAsia="Times New Roman" w:cs="Times New Roman"/>
                <w:sz w:val="24"/>
                <w:lang w:val="en-US"/>
              </w:rPr>
              <w:lastRenderedPageBreak/>
              <w:t>Strengthening capacity of local actors within a local food system to improve food and nutrition security;</w:t>
            </w:r>
          </w:p>
          <w:p w14:paraId="56076D63" w14:textId="77777777" w:rsidR="009879C4" w:rsidRPr="00275773" w:rsidRDefault="009879C4" w:rsidP="009879C4">
            <w:pPr>
              <w:pStyle w:val="ListParagraph"/>
              <w:numPr>
                <w:ilvl w:val="0"/>
                <w:numId w:val="4"/>
              </w:numPr>
              <w:spacing w:after="0" w:line="240" w:lineRule="auto"/>
              <w:rPr>
                <w:rFonts w:eastAsia="Times New Roman" w:cs="Times New Roman"/>
                <w:sz w:val="24"/>
                <w:lang w:val="en-US"/>
              </w:rPr>
            </w:pPr>
            <w:r w:rsidRPr="00275773">
              <w:rPr>
                <w:rFonts w:eastAsia="Times New Roman" w:cs="Times New Roman"/>
                <w:sz w:val="24"/>
                <w:lang w:val="en-US"/>
              </w:rPr>
              <w:t>Strengthening rural-urban linkages while ensuring sustainable use of natural resources;</w:t>
            </w:r>
          </w:p>
          <w:p w14:paraId="3C954107" w14:textId="75FC5850" w:rsidR="009879C4" w:rsidRPr="00275773" w:rsidRDefault="009879C4" w:rsidP="009879C4">
            <w:pPr>
              <w:pStyle w:val="ListParagraph"/>
              <w:numPr>
                <w:ilvl w:val="0"/>
                <w:numId w:val="4"/>
              </w:numPr>
              <w:spacing w:after="0" w:line="240" w:lineRule="auto"/>
              <w:rPr>
                <w:rFonts w:eastAsia="Times New Roman" w:cs="Times New Roman"/>
                <w:sz w:val="24"/>
                <w:lang w:val="en-US"/>
              </w:rPr>
            </w:pPr>
            <w:r w:rsidRPr="00275773">
              <w:rPr>
                <w:rFonts w:eastAsia="Times New Roman" w:cs="Times New Roman"/>
                <w:sz w:val="24"/>
                <w:lang w:val="en-US"/>
              </w:rPr>
              <w:t>Strengthening governance for enhanced local actor capacity and multi-stakeholder dialogue;</w:t>
            </w:r>
          </w:p>
          <w:p w14:paraId="2754FBEE" w14:textId="77777777" w:rsidR="009879C4" w:rsidRDefault="009879C4" w:rsidP="00275773">
            <w:pPr>
              <w:pStyle w:val="ListParagraph"/>
              <w:numPr>
                <w:ilvl w:val="0"/>
                <w:numId w:val="4"/>
              </w:numPr>
              <w:spacing w:after="0" w:line="240" w:lineRule="auto"/>
              <w:rPr>
                <w:rFonts w:eastAsia="Times New Roman" w:cs="Times New Roman"/>
                <w:sz w:val="24"/>
                <w:lang w:val="en-US"/>
              </w:rPr>
            </w:pPr>
            <w:r w:rsidRPr="00275773">
              <w:rPr>
                <w:rFonts w:eastAsia="Times New Roman" w:cs="Times New Roman"/>
                <w:sz w:val="24"/>
                <w:lang w:val="en-US"/>
              </w:rPr>
              <w:t>Scaling-up practices by evaluating, monitoring and mapping the food system.</w:t>
            </w:r>
          </w:p>
          <w:p w14:paraId="3A73F2B4" w14:textId="42F47920" w:rsidR="00C34B02" w:rsidRPr="00275773" w:rsidRDefault="00C34B02" w:rsidP="00C34B02">
            <w:pPr>
              <w:pStyle w:val="ListParagraph"/>
              <w:spacing w:after="0" w:line="240" w:lineRule="auto"/>
              <w:rPr>
                <w:rFonts w:eastAsia="Times New Roman" w:cs="Times New Roman"/>
                <w:sz w:val="24"/>
                <w:lang w:val="en-US"/>
              </w:rPr>
            </w:pPr>
          </w:p>
        </w:tc>
      </w:tr>
    </w:tbl>
    <w:p w14:paraId="6BE07124" w14:textId="77777777" w:rsidR="000F3E84" w:rsidRDefault="000F3E84" w:rsidP="000F3E84">
      <w:pPr>
        <w:spacing w:after="80" w:line="20" w:lineRule="atLeast"/>
        <w:jc w:val="both"/>
        <w:rPr>
          <w:b/>
          <w:sz w:val="24"/>
          <w:szCs w:val="24"/>
          <w:lang w:val="en-US"/>
        </w:rPr>
      </w:pPr>
    </w:p>
    <w:p w14:paraId="1C616971" w14:textId="77777777" w:rsidR="007572A9" w:rsidRPr="000F3E84" w:rsidRDefault="007572A9" w:rsidP="000F3E84">
      <w:pPr>
        <w:spacing w:after="80" w:line="20" w:lineRule="atLeast"/>
        <w:jc w:val="both"/>
        <w:rPr>
          <w:b/>
          <w:sz w:val="24"/>
          <w:szCs w:val="24"/>
          <w:lang w:val="en-US"/>
        </w:rPr>
      </w:pPr>
      <w:r w:rsidRPr="000F3E84">
        <w:rPr>
          <w:b/>
          <w:sz w:val="24"/>
          <w:szCs w:val="24"/>
          <w:lang w:val="en-US"/>
        </w:rPr>
        <w:t>Key characteristics of the experience/process</w:t>
      </w:r>
    </w:p>
    <w:tbl>
      <w:tblPr>
        <w:tblStyle w:val="TableGrid"/>
        <w:tblW w:w="0" w:type="auto"/>
        <w:tblLook w:val="04A0" w:firstRow="1" w:lastRow="0" w:firstColumn="1" w:lastColumn="0" w:noHBand="0" w:noVBand="1"/>
      </w:tblPr>
      <w:tblGrid>
        <w:gridCol w:w="9158"/>
      </w:tblGrid>
      <w:tr w:rsidR="000F3E84" w14:paraId="23069E24" w14:textId="77777777" w:rsidTr="00E53E42">
        <w:tc>
          <w:tcPr>
            <w:tcW w:w="9158" w:type="dxa"/>
          </w:tcPr>
          <w:p w14:paraId="60BA5ADA" w14:textId="2F3A8C05" w:rsidR="009879C4" w:rsidRPr="00275773" w:rsidRDefault="009879C4" w:rsidP="009879C4">
            <w:pPr>
              <w:pStyle w:val="BodyText"/>
              <w:jc w:val="both"/>
              <w:rPr>
                <w:b/>
                <w:sz w:val="24"/>
                <w:lang w:val="en"/>
              </w:rPr>
            </w:pPr>
            <w:r w:rsidRPr="00275773">
              <w:rPr>
                <w:b/>
                <w:sz w:val="24"/>
                <w:lang w:val="en"/>
              </w:rPr>
              <w:t>The city region food system concept: developing territorial approaches to urban food systems</w:t>
            </w:r>
          </w:p>
          <w:p w14:paraId="741A62EC" w14:textId="3351E009" w:rsidR="009879C4" w:rsidRPr="00275773" w:rsidRDefault="009879C4" w:rsidP="009879C4">
            <w:pPr>
              <w:pStyle w:val="BodyText"/>
              <w:jc w:val="both"/>
              <w:rPr>
                <w:sz w:val="24"/>
                <w:lang w:val="en"/>
              </w:rPr>
            </w:pPr>
          </w:p>
          <w:p w14:paraId="380C5429" w14:textId="77777777" w:rsidR="009879C4" w:rsidRPr="00275773" w:rsidRDefault="009879C4" w:rsidP="009879C4">
            <w:pPr>
              <w:pStyle w:val="BodyText"/>
              <w:jc w:val="both"/>
              <w:rPr>
                <w:sz w:val="24"/>
                <w:lang w:val="en"/>
              </w:rPr>
            </w:pPr>
            <w:r w:rsidRPr="00275773">
              <w:rPr>
                <w:sz w:val="24"/>
                <w:lang w:val="en"/>
              </w:rPr>
              <w:t>A city region food system is defined as the "complex network of actors, processes and relationships to do with food production, processing, marketing, and consumption that exist in a given geographical region that includes a more or less concentrated urban center and its surrounding peri- urban and rural hinterland; a regional landscape across which flows of people, goods and ecosystem services are managed."</w:t>
            </w:r>
            <w:r w:rsidRPr="00275773">
              <w:rPr>
                <w:rStyle w:val="FootnoteReference"/>
                <w:sz w:val="24"/>
                <w:lang w:val="en"/>
              </w:rPr>
              <w:footnoteReference w:id="4"/>
            </w:r>
          </w:p>
          <w:p w14:paraId="601BB946" w14:textId="6682A118" w:rsidR="009879C4" w:rsidRPr="00275773" w:rsidRDefault="009879C4" w:rsidP="00C34B02">
            <w:pPr>
              <w:spacing w:before="100" w:beforeAutospacing="1" w:after="100" w:afterAutospacing="1"/>
              <w:rPr>
                <w:sz w:val="24"/>
              </w:rPr>
            </w:pPr>
            <w:r w:rsidRPr="00275773">
              <w:rPr>
                <w:sz w:val="24"/>
              </w:rPr>
              <w:t>The term ‘City region’ refers not only to megacities and the immediate, proximate rural and agricultural areas surrounding them, but also to small and medium-sized towns that can serve to link the more remote small-scale producers and their agricultural value chains to urban centres and markets in developing countries</w:t>
            </w:r>
            <w:r w:rsidR="00C34B02">
              <w:rPr>
                <w:rStyle w:val="FootnoteReference"/>
              </w:rPr>
              <w:footnoteReference w:id="5"/>
            </w:r>
            <w:r w:rsidR="00C34B02">
              <w:rPr>
                <w:sz w:val="24"/>
              </w:rPr>
              <w:t>.</w:t>
            </w:r>
          </w:p>
          <w:p w14:paraId="678E7530" w14:textId="77777777" w:rsidR="009879C4" w:rsidRPr="00275773" w:rsidRDefault="009879C4" w:rsidP="009879C4">
            <w:pPr>
              <w:pStyle w:val="Heading1"/>
              <w:numPr>
                <w:ilvl w:val="0"/>
                <w:numId w:val="0"/>
              </w:numPr>
              <w:spacing w:before="0"/>
              <w:ind w:left="567" w:hanging="567"/>
              <w:jc w:val="both"/>
              <w:outlineLvl w:val="0"/>
              <w:rPr>
                <w:rFonts w:asciiTheme="minorHAnsi" w:hAnsiTheme="minorHAnsi"/>
                <w:sz w:val="24"/>
                <w:szCs w:val="22"/>
                <w:lang w:val="en-US"/>
              </w:rPr>
            </w:pPr>
            <w:r w:rsidRPr="00275773">
              <w:rPr>
                <w:rFonts w:asciiTheme="minorHAnsi" w:hAnsiTheme="minorHAnsi"/>
                <w:sz w:val="24"/>
                <w:szCs w:val="22"/>
              </w:rPr>
              <w:t xml:space="preserve">From theory to practice: operationalising CRFS concepts </w:t>
            </w:r>
          </w:p>
          <w:p w14:paraId="3494EAED" w14:textId="7A00D9A9" w:rsidR="009879C4" w:rsidRPr="00275773" w:rsidRDefault="009879C4" w:rsidP="009879C4">
            <w:pPr>
              <w:pStyle w:val="BodyText"/>
              <w:jc w:val="both"/>
              <w:rPr>
                <w:rFonts w:asciiTheme="minorHAnsi" w:hAnsiTheme="minorHAnsi"/>
                <w:sz w:val="24"/>
                <w:lang w:eastAsia="nl-NL"/>
              </w:rPr>
            </w:pPr>
            <w:r w:rsidRPr="00275773">
              <w:rPr>
                <w:rFonts w:asciiTheme="minorHAnsi" w:hAnsiTheme="minorHAnsi"/>
                <w:sz w:val="24"/>
                <w:lang w:eastAsia="nl-NL"/>
              </w:rPr>
              <w:t xml:space="preserve">The programme builds on the demand to better understand and operationalize the concept of city region food system as a basis for further planning and informed decision making, prioritizing investments and designing food policies and strategies </w:t>
            </w:r>
            <w:r w:rsidR="00E53E42">
              <w:rPr>
                <w:rFonts w:asciiTheme="minorHAnsi" w:hAnsiTheme="minorHAnsi"/>
                <w:sz w:val="24"/>
                <w:lang w:eastAsia="nl-NL"/>
              </w:rPr>
              <w:t>for a more</w:t>
            </w:r>
            <w:r w:rsidRPr="00275773">
              <w:rPr>
                <w:rFonts w:asciiTheme="minorHAnsi" w:hAnsiTheme="minorHAnsi"/>
                <w:sz w:val="24"/>
                <w:lang w:eastAsia="nl-NL"/>
              </w:rPr>
              <w:t xml:space="preserve"> resilien</w:t>
            </w:r>
            <w:r w:rsidR="00E53E42">
              <w:rPr>
                <w:rFonts w:asciiTheme="minorHAnsi" w:hAnsiTheme="minorHAnsi"/>
                <w:sz w:val="24"/>
                <w:lang w:eastAsia="nl-NL"/>
              </w:rPr>
              <w:t>t</w:t>
            </w:r>
            <w:r w:rsidRPr="00275773">
              <w:rPr>
                <w:rFonts w:asciiTheme="minorHAnsi" w:hAnsiTheme="minorHAnsi"/>
                <w:sz w:val="24"/>
                <w:lang w:eastAsia="nl-NL"/>
              </w:rPr>
              <w:t xml:space="preserve"> and sustainab</w:t>
            </w:r>
            <w:r w:rsidR="00E53E42">
              <w:rPr>
                <w:rFonts w:asciiTheme="minorHAnsi" w:hAnsiTheme="minorHAnsi"/>
                <w:sz w:val="24"/>
                <w:lang w:eastAsia="nl-NL"/>
              </w:rPr>
              <w:t>le</w:t>
            </w:r>
            <w:r w:rsidR="00BA2029">
              <w:rPr>
                <w:rFonts w:asciiTheme="minorHAnsi" w:hAnsiTheme="minorHAnsi"/>
                <w:sz w:val="24"/>
                <w:lang w:eastAsia="nl-NL"/>
              </w:rPr>
              <w:t xml:space="preserve"> </w:t>
            </w:r>
            <w:r w:rsidRPr="00275773">
              <w:rPr>
                <w:rFonts w:asciiTheme="minorHAnsi" w:hAnsiTheme="minorHAnsi"/>
                <w:sz w:val="24"/>
                <w:lang w:eastAsia="nl-NL"/>
              </w:rPr>
              <w:t>food system.</w:t>
            </w:r>
          </w:p>
          <w:p w14:paraId="63061327" w14:textId="77777777" w:rsidR="00275773" w:rsidRPr="00275773" w:rsidRDefault="00275773" w:rsidP="001528A0">
            <w:pPr>
              <w:spacing w:after="80" w:line="20" w:lineRule="atLeast"/>
              <w:jc w:val="both"/>
              <w:rPr>
                <w:sz w:val="24"/>
              </w:rPr>
            </w:pPr>
          </w:p>
          <w:p w14:paraId="490035E4" w14:textId="4AAB495F" w:rsidR="001528A0" w:rsidRPr="00275773" w:rsidRDefault="009879C4" w:rsidP="001528A0">
            <w:pPr>
              <w:spacing w:after="80" w:line="20" w:lineRule="atLeast"/>
              <w:jc w:val="both"/>
              <w:rPr>
                <w:sz w:val="24"/>
              </w:rPr>
            </w:pPr>
            <w:r w:rsidRPr="00275773">
              <w:rPr>
                <w:sz w:val="24"/>
              </w:rPr>
              <w:t xml:space="preserve">The starting point is to assess, characterize and map the food system in city region context, adapting on each local context. </w:t>
            </w:r>
            <w:r w:rsidR="001528A0" w:rsidRPr="00275773">
              <w:rPr>
                <w:sz w:val="24"/>
              </w:rPr>
              <w:t xml:space="preserve">Then, through a </w:t>
            </w:r>
            <w:r w:rsidR="00E53E42" w:rsidRPr="00275773">
              <w:rPr>
                <w:sz w:val="24"/>
              </w:rPr>
              <w:t>multi-stakeholder dialogue</w:t>
            </w:r>
            <w:r w:rsidR="00E53E42">
              <w:rPr>
                <w:sz w:val="24"/>
              </w:rPr>
              <w:t xml:space="preserve"> a</w:t>
            </w:r>
            <w:r w:rsidR="00E53E42" w:rsidRPr="00275773">
              <w:rPr>
                <w:sz w:val="24"/>
              </w:rPr>
              <w:t xml:space="preserve"> </w:t>
            </w:r>
            <w:r w:rsidR="001528A0" w:rsidRPr="00275773">
              <w:rPr>
                <w:sz w:val="24"/>
              </w:rPr>
              <w:t>scenario building exercise</w:t>
            </w:r>
            <w:r w:rsidR="00E53E42">
              <w:rPr>
                <w:sz w:val="24"/>
              </w:rPr>
              <w:t xml:space="preserve"> is done to</w:t>
            </w:r>
            <w:r w:rsidR="001528A0" w:rsidRPr="00275773">
              <w:rPr>
                <w:sz w:val="24"/>
              </w:rPr>
              <w:t xml:space="preserve"> elaborate</w:t>
            </w:r>
            <w:r w:rsidR="00E53E42">
              <w:rPr>
                <w:sz w:val="24"/>
              </w:rPr>
              <w:t xml:space="preserve"> </w:t>
            </w:r>
            <w:r w:rsidR="001528A0" w:rsidRPr="00275773">
              <w:rPr>
                <w:sz w:val="24"/>
              </w:rPr>
              <w:t>strategies and action plans to improve city region food system by strengthening the urban-rural linkages.</w:t>
            </w:r>
          </w:p>
          <w:p w14:paraId="7FCE28F8" w14:textId="77777777" w:rsidR="000F3E84" w:rsidRDefault="000F3E84" w:rsidP="001528A0">
            <w:pPr>
              <w:spacing w:after="80" w:line="20" w:lineRule="atLeast"/>
              <w:jc w:val="both"/>
              <w:rPr>
                <w:b/>
                <w:sz w:val="24"/>
                <w:szCs w:val="24"/>
                <w:lang w:val="en-US"/>
              </w:rPr>
            </w:pPr>
          </w:p>
        </w:tc>
      </w:tr>
    </w:tbl>
    <w:p w14:paraId="2BB704D6" w14:textId="77777777" w:rsidR="00C34B02" w:rsidRDefault="00C34B02" w:rsidP="000F3E84">
      <w:pPr>
        <w:spacing w:after="80" w:line="20" w:lineRule="atLeast"/>
        <w:jc w:val="both"/>
        <w:rPr>
          <w:b/>
          <w:sz w:val="24"/>
          <w:szCs w:val="24"/>
          <w:lang w:val="en-US"/>
        </w:rPr>
      </w:pPr>
    </w:p>
    <w:p w14:paraId="6A7521B2" w14:textId="77777777" w:rsidR="007572A9" w:rsidRPr="000F3E84" w:rsidRDefault="007572A9" w:rsidP="000F3E84">
      <w:pPr>
        <w:spacing w:after="80" w:line="20" w:lineRule="atLeast"/>
        <w:jc w:val="both"/>
        <w:rPr>
          <w:b/>
          <w:sz w:val="24"/>
          <w:szCs w:val="24"/>
          <w:lang w:val="en-US"/>
        </w:rPr>
      </w:pPr>
      <w:r w:rsidRPr="000F3E84">
        <w:rPr>
          <w:b/>
          <w:sz w:val="24"/>
          <w:szCs w:val="24"/>
          <w:lang w:val="en-US"/>
        </w:rPr>
        <w:t>Key actors involved and their role</w:t>
      </w:r>
    </w:p>
    <w:tbl>
      <w:tblPr>
        <w:tblStyle w:val="TableGrid"/>
        <w:tblW w:w="0" w:type="auto"/>
        <w:tblLook w:val="04A0" w:firstRow="1" w:lastRow="0" w:firstColumn="1" w:lastColumn="0" w:noHBand="0" w:noVBand="1"/>
      </w:tblPr>
      <w:tblGrid>
        <w:gridCol w:w="9158"/>
      </w:tblGrid>
      <w:tr w:rsidR="000F3E84" w14:paraId="75D2CDEE" w14:textId="77777777" w:rsidTr="00E53E42">
        <w:tc>
          <w:tcPr>
            <w:tcW w:w="9158" w:type="dxa"/>
          </w:tcPr>
          <w:p w14:paraId="2A9AA453" w14:textId="6F9F5F73" w:rsidR="000F3E84" w:rsidRPr="00275773" w:rsidRDefault="000F3E84" w:rsidP="000F3E84">
            <w:pPr>
              <w:spacing w:after="80" w:line="20" w:lineRule="atLeast"/>
              <w:jc w:val="both"/>
              <w:rPr>
                <w:sz w:val="24"/>
                <w:szCs w:val="24"/>
                <w:lang w:val="en-US"/>
              </w:rPr>
            </w:pPr>
          </w:p>
          <w:p w14:paraId="2AF43645" w14:textId="4B473109" w:rsidR="00320D28" w:rsidRDefault="00E53E42" w:rsidP="001B29C9">
            <w:pPr>
              <w:spacing w:after="80" w:line="20" w:lineRule="atLeast"/>
              <w:jc w:val="both"/>
              <w:rPr>
                <w:b/>
                <w:sz w:val="24"/>
                <w:szCs w:val="24"/>
                <w:lang w:val="en-US"/>
              </w:rPr>
            </w:pPr>
            <w:r>
              <w:rPr>
                <w:sz w:val="24"/>
                <w:szCs w:val="24"/>
                <w:lang w:val="en-US"/>
              </w:rPr>
              <w:t>L</w:t>
            </w:r>
            <w:r w:rsidR="00382839" w:rsidRPr="00275773">
              <w:rPr>
                <w:sz w:val="24"/>
                <w:szCs w:val="24"/>
                <w:lang w:val="en-US"/>
              </w:rPr>
              <w:t xml:space="preserve">ocal </w:t>
            </w:r>
            <w:r>
              <w:rPr>
                <w:sz w:val="24"/>
                <w:szCs w:val="24"/>
                <w:lang w:val="en-US"/>
              </w:rPr>
              <w:t xml:space="preserve">research and academic </w:t>
            </w:r>
            <w:r w:rsidR="00382839" w:rsidRPr="00275773">
              <w:rPr>
                <w:sz w:val="24"/>
                <w:szCs w:val="24"/>
                <w:lang w:val="en-US"/>
              </w:rPr>
              <w:t xml:space="preserve">institutions (IWMI in Colombo, UNZA in Lusaka, CBU in Kitwe) </w:t>
            </w:r>
            <w:r>
              <w:rPr>
                <w:sz w:val="24"/>
                <w:szCs w:val="24"/>
                <w:lang w:val="en-US"/>
              </w:rPr>
              <w:t xml:space="preserve">are key actors for data collection and analysis along with the local government and other </w:t>
            </w:r>
            <w:r>
              <w:rPr>
                <w:sz w:val="24"/>
                <w:szCs w:val="24"/>
                <w:lang w:val="en-US"/>
              </w:rPr>
              <w:lastRenderedPageBreak/>
              <w:t xml:space="preserve">stakeholders such as civil society and private sector. </w:t>
            </w:r>
            <w:r w:rsidR="0003579E">
              <w:rPr>
                <w:sz w:val="24"/>
                <w:szCs w:val="24"/>
                <w:lang w:val="en-US"/>
              </w:rPr>
              <w:t>National government also play a critical role in ensuring alignment with national policy and linkage to international processes.</w:t>
            </w:r>
          </w:p>
        </w:tc>
      </w:tr>
    </w:tbl>
    <w:p w14:paraId="33330DA3" w14:textId="77777777" w:rsidR="000F3E84" w:rsidRPr="000F3E84" w:rsidRDefault="000F3E84" w:rsidP="000F3E84">
      <w:pPr>
        <w:spacing w:after="80" w:line="20" w:lineRule="atLeast"/>
        <w:jc w:val="both"/>
        <w:rPr>
          <w:b/>
          <w:sz w:val="24"/>
          <w:szCs w:val="24"/>
          <w:lang w:val="en-US"/>
        </w:rPr>
      </w:pPr>
    </w:p>
    <w:p w14:paraId="489EE887" w14:textId="77777777" w:rsidR="007572A9" w:rsidRPr="000F3E84" w:rsidRDefault="000F3E84" w:rsidP="000F3E84">
      <w:pPr>
        <w:spacing w:after="80" w:line="20" w:lineRule="atLeast"/>
        <w:jc w:val="both"/>
        <w:rPr>
          <w:b/>
          <w:sz w:val="24"/>
          <w:szCs w:val="24"/>
          <w:lang w:val="en-US"/>
        </w:rPr>
      </w:pPr>
      <w:r>
        <w:rPr>
          <w:b/>
          <w:sz w:val="24"/>
          <w:szCs w:val="24"/>
          <w:lang w:val="en-US"/>
        </w:rPr>
        <w:t xml:space="preserve">Key changes observed </w:t>
      </w:r>
      <w:r w:rsidR="007572A9" w:rsidRPr="000F3E84">
        <w:rPr>
          <w:b/>
          <w:sz w:val="24"/>
          <w:szCs w:val="24"/>
          <w:lang w:val="en-US"/>
        </w:rPr>
        <w:t>with regards to food security and nutrition and sustainable agriculture and food systems</w:t>
      </w:r>
    </w:p>
    <w:tbl>
      <w:tblPr>
        <w:tblStyle w:val="TableGrid"/>
        <w:tblW w:w="0" w:type="auto"/>
        <w:tblLook w:val="04A0" w:firstRow="1" w:lastRow="0" w:firstColumn="1" w:lastColumn="0" w:noHBand="0" w:noVBand="1"/>
      </w:tblPr>
      <w:tblGrid>
        <w:gridCol w:w="9158"/>
      </w:tblGrid>
      <w:tr w:rsidR="000F3E84" w14:paraId="1AA0D244" w14:textId="77777777" w:rsidTr="00E53E42">
        <w:tc>
          <w:tcPr>
            <w:tcW w:w="9158" w:type="dxa"/>
          </w:tcPr>
          <w:p w14:paraId="4BCA0C33" w14:textId="2A5D33FD" w:rsidR="000F3E84" w:rsidRPr="000D0232" w:rsidRDefault="00320D28" w:rsidP="000F3E84">
            <w:pPr>
              <w:spacing w:after="80" w:line="20" w:lineRule="atLeast"/>
              <w:jc w:val="both"/>
              <w:rPr>
                <w:sz w:val="24"/>
                <w:szCs w:val="24"/>
                <w:lang w:val="en-US"/>
              </w:rPr>
            </w:pPr>
            <w:r w:rsidRPr="000D0232">
              <w:rPr>
                <w:sz w:val="24"/>
                <w:szCs w:val="24"/>
                <w:lang w:val="en-US"/>
              </w:rPr>
              <w:t>Even though</w:t>
            </w:r>
            <w:r w:rsidR="008F3BE1" w:rsidRPr="000D0232">
              <w:rPr>
                <w:sz w:val="24"/>
                <w:szCs w:val="24"/>
                <w:lang w:val="en-US"/>
              </w:rPr>
              <w:t xml:space="preserve"> the project is still on-going, first concrete results can be highlighted.</w:t>
            </w:r>
          </w:p>
          <w:p w14:paraId="00F2B4C7" w14:textId="77777777" w:rsidR="00C34B02" w:rsidRDefault="00C34B02" w:rsidP="00C34B02">
            <w:pPr>
              <w:pStyle w:val="NormalWeb"/>
              <w:spacing w:before="0" w:beforeAutospacing="0" w:after="0" w:afterAutospacing="0"/>
              <w:jc w:val="both"/>
              <w:rPr>
                <w:rFonts w:ascii="Calibri" w:hAnsi="Calibri"/>
                <w:b/>
              </w:rPr>
            </w:pPr>
          </w:p>
          <w:p w14:paraId="1A0D0C55" w14:textId="0D4DE910" w:rsidR="008F3BE1" w:rsidRPr="000D0232" w:rsidRDefault="00C34B02" w:rsidP="00C34B02">
            <w:pPr>
              <w:pStyle w:val="NormalWeb"/>
              <w:spacing w:before="0" w:beforeAutospacing="0" w:after="0" w:afterAutospacing="0"/>
              <w:jc w:val="both"/>
              <w:rPr>
                <w:rFonts w:ascii="Calibri" w:hAnsi="Calibri"/>
                <w:b/>
              </w:rPr>
            </w:pPr>
            <w:r>
              <w:rPr>
                <w:rFonts w:ascii="Calibri" w:hAnsi="Calibri"/>
                <w:b/>
              </w:rPr>
              <w:t xml:space="preserve">Medellin, </w:t>
            </w:r>
            <w:r w:rsidR="008F3BE1" w:rsidRPr="000D0232">
              <w:rPr>
                <w:rFonts w:ascii="Calibri" w:hAnsi="Calibri"/>
                <w:b/>
              </w:rPr>
              <w:t>Colombia:</w:t>
            </w:r>
          </w:p>
          <w:p w14:paraId="0CEB1226" w14:textId="0531049C" w:rsidR="00320D28" w:rsidRPr="00BA2029" w:rsidRDefault="00320D28" w:rsidP="00C34B02">
            <w:pPr>
              <w:pStyle w:val="NormalWeb"/>
              <w:spacing w:before="0" w:beforeAutospacing="0" w:after="0" w:afterAutospacing="0"/>
              <w:jc w:val="both"/>
              <w:rPr>
                <w:rFonts w:asciiTheme="minorHAnsi" w:hAnsiTheme="minorHAnsi"/>
              </w:rPr>
            </w:pPr>
            <w:r w:rsidRPr="000D0232">
              <w:rPr>
                <w:rFonts w:ascii="Calibri" w:hAnsi="Calibri"/>
              </w:rPr>
              <w:t xml:space="preserve">Following the appraisal of the CRFS and coupling it with the existing appropriate framework for action, </w:t>
            </w:r>
            <w:r w:rsidR="0003579E">
              <w:rPr>
                <w:rFonts w:ascii="Calibri" w:hAnsi="Calibri"/>
              </w:rPr>
              <w:t>the project</w:t>
            </w:r>
            <w:r w:rsidRPr="000D0232">
              <w:rPr>
                <w:rFonts w:ascii="Calibri" w:hAnsi="Calibri"/>
              </w:rPr>
              <w:t xml:space="preserve"> facilitated institutional integration between the Government of Antioquia, Medellin Mayor's Office and the Metropolitan by creating an </w:t>
            </w:r>
            <w:r w:rsidRPr="000D0232">
              <w:rPr>
                <w:rStyle w:val="Strong"/>
                <w:rFonts w:ascii="Calibri" w:hAnsi="Calibri"/>
                <w:b w:val="0"/>
              </w:rPr>
              <w:t>inter-institutional taskforce called “El Buen Vivir”</w:t>
            </w:r>
            <w:r w:rsidRPr="00BA2029">
              <w:rPr>
                <w:rFonts w:ascii="Calibri" w:hAnsi="Calibri"/>
              </w:rPr>
              <w:t>.</w:t>
            </w:r>
            <w:r w:rsidRPr="000D0232">
              <w:rPr>
                <w:rFonts w:ascii="Calibri" w:hAnsi="Calibri"/>
              </w:rPr>
              <w:t xml:space="preserve"> This taskforce aims to generate political, administrative and economic synergies, in order to facilitate the implementation of actions in the city region.</w:t>
            </w:r>
            <w:r w:rsidR="008F3BE1" w:rsidRPr="000D0232">
              <w:rPr>
                <w:rFonts w:ascii="Calibri" w:hAnsi="Calibri"/>
              </w:rPr>
              <w:t xml:space="preserve"> T</w:t>
            </w:r>
            <w:r w:rsidRPr="000D0232">
              <w:rPr>
                <w:rFonts w:ascii="Calibri" w:hAnsi="Calibri"/>
              </w:rPr>
              <w:t xml:space="preserve">he </w:t>
            </w:r>
            <w:r w:rsidR="008F3BE1" w:rsidRPr="000D0232">
              <w:rPr>
                <w:rFonts w:ascii="Calibri" w:hAnsi="Calibri"/>
              </w:rPr>
              <w:t>public authorities</w:t>
            </w:r>
            <w:r w:rsidRPr="000D0232">
              <w:rPr>
                <w:rFonts w:ascii="Calibri" w:hAnsi="Calibri"/>
              </w:rPr>
              <w:t>, through the taskforce</w:t>
            </w:r>
            <w:r w:rsidR="008F3BE1" w:rsidRPr="000D0232">
              <w:rPr>
                <w:rFonts w:ascii="Calibri" w:hAnsi="Calibri"/>
              </w:rPr>
              <w:t>,</w:t>
            </w:r>
            <w:r w:rsidRPr="000D0232">
              <w:rPr>
                <w:rFonts w:ascii="Calibri" w:hAnsi="Calibri"/>
              </w:rPr>
              <w:t xml:space="preserve"> are starting to implement activities to build a more sustainable and resilient CRFS. More specifically, projects will follow two directions: (i) Enhancement of </w:t>
            </w:r>
            <w:r w:rsidRPr="00C34B02">
              <w:rPr>
                <w:rFonts w:ascii="Calibri" w:hAnsi="Calibri"/>
              </w:rPr>
              <w:t xml:space="preserve">the </w:t>
            </w:r>
            <w:r w:rsidRPr="00C34B02">
              <w:rPr>
                <w:rStyle w:val="Strong"/>
                <w:rFonts w:ascii="Calibri" w:hAnsi="Calibri"/>
                <w:b w:val="0"/>
              </w:rPr>
              <w:t>agricultural production</w:t>
            </w:r>
            <w:r w:rsidRPr="00C34B02">
              <w:rPr>
                <w:rFonts w:ascii="Calibri" w:hAnsi="Calibri"/>
              </w:rPr>
              <w:t xml:space="preserve"> in the districts of Medellin, and (ii) improvement of the </w:t>
            </w:r>
            <w:r w:rsidRPr="00C34B02">
              <w:rPr>
                <w:rStyle w:val="Strong"/>
                <w:rFonts w:ascii="Calibri" w:hAnsi="Calibri"/>
                <w:b w:val="0"/>
              </w:rPr>
              <w:t>access and availability of safe and diverse produce</w:t>
            </w:r>
            <w:r w:rsidRPr="00C34B02">
              <w:rPr>
                <w:rFonts w:ascii="Calibri" w:hAnsi="Calibri"/>
              </w:rPr>
              <w:t xml:space="preserve"> for city region dwellers, by </w:t>
            </w:r>
            <w:r w:rsidRPr="00BA2029">
              <w:rPr>
                <w:rFonts w:asciiTheme="minorHAnsi" w:hAnsiTheme="minorHAnsi"/>
              </w:rPr>
              <w:t>strengthening the food supply system.</w:t>
            </w:r>
          </w:p>
          <w:p w14:paraId="6B4EECB8" w14:textId="05F6FB10" w:rsidR="00216B71" w:rsidRPr="00BA2029" w:rsidRDefault="00216B71" w:rsidP="00C34B02">
            <w:pPr>
              <w:pStyle w:val="NormalWeb"/>
              <w:spacing w:before="0" w:beforeAutospacing="0" w:after="0" w:afterAutospacing="0"/>
              <w:jc w:val="both"/>
              <w:rPr>
                <w:rFonts w:asciiTheme="minorHAnsi" w:hAnsiTheme="minorHAnsi"/>
              </w:rPr>
            </w:pPr>
            <w:r w:rsidRPr="00BA2029">
              <w:rPr>
                <w:rFonts w:asciiTheme="minorHAnsi" w:hAnsiTheme="minorHAnsi"/>
              </w:rPr>
              <w:t xml:space="preserve">Through the project, FAO is also working closely with the </w:t>
            </w:r>
            <w:r w:rsidRPr="00BA2029">
              <w:rPr>
                <w:rStyle w:val="Strong"/>
                <w:rFonts w:asciiTheme="minorHAnsi" w:hAnsiTheme="minorHAnsi"/>
                <w:b w:val="0"/>
              </w:rPr>
              <w:t>Management of Food Security and Nutrition (MANA) programme, led by</w:t>
            </w:r>
            <w:r w:rsidRPr="00BA2029">
              <w:rPr>
                <w:rFonts w:asciiTheme="minorHAnsi" w:hAnsiTheme="minorHAnsi"/>
                <w:b/>
              </w:rPr>
              <w:t xml:space="preserve"> </w:t>
            </w:r>
            <w:r w:rsidRPr="00BA2029">
              <w:rPr>
                <w:rFonts w:asciiTheme="minorHAnsi" w:hAnsiTheme="minorHAnsi"/>
              </w:rPr>
              <w:t>the government of Antioquia (region of Medellin), that inst</w:t>
            </w:r>
            <w:r w:rsidR="00BA2029" w:rsidRPr="00BA2029">
              <w:rPr>
                <w:rFonts w:asciiTheme="minorHAnsi" w:hAnsiTheme="minorHAnsi"/>
              </w:rPr>
              <w:t>itutionalizes</w:t>
            </w:r>
            <w:r w:rsidRPr="00BA2029">
              <w:rPr>
                <w:rFonts w:asciiTheme="minorHAnsi" w:hAnsiTheme="minorHAnsi"/>
              </w:rPr>
              <w:t xml:space="preserve"> the issue of food security and nutrition as public policy </w:t>
            </w:r>
            <w:r w:rsidR="00BA2029" w:rsidRPr="00BA2029">
              <w:rPr>
                <w:rFonts w:asciiTheme="minorHAnsi" w:hAnsiTheme="minorHAnsi"/>
              </w:rPr>
              <w:t>since</w:t>
            </w:r>
            <w:r w:rsidRPr="00BA2029">
              <w:rPr>
                <w:rFonts w:asciiTheme="minorHAnsi" w:hAnsiTheme="minorHAnsi"/>
              </w:rPr>
              <w:t xml:space="preserve"> 2003.</w:t>
            </w:r>
            <w:r w:rsidR="00BA2029" w:rsidRPr="00BA2029">
              <w:rPr>
                <w:rFonts w:asciiTheme="minorHAnsi" w:hAnsiTheme="minorHAnsi"/>
              </w:rPr>
              <w:t xml:space="preserve"> Outcomes of the assessment are used to build more targeted and coherent policies towards a food secure territory.</w:t>
            </w:r>
          </w:p>
          <w:p w14:paraId="7A0DDEFA" w14:textId="77777777" w:rsidR="00C34B02" w:rsidRDefault="00C34B02" w:rsidP="00C34B02">
            <w:pPr>
              <w:pStyle w:val="NormalWeb"/>
              <w:spacing w:before="0" w:beforeAutospacing="0" w:after="0" w:afterAutospacing="0"/>
              <w:jc w:val="both"/>
              <w:rPr>
                <w:rFonts w:ascii="Calibri" w:hAnsi="Calibri"/>
                <w:b/>
              </w:rPr>
            </w:pPr>
          </w:p>
          <w:p w14:paraId="6076E5A8" w14:textId="77777777" w:rsidR="008F3BE1" w:rsidRPr="000D0232" w:rsidRDefault="00A41603" w:rsidP="00C34B02">
            <w:pPr>
              <w:pStyle w:val="NormalWeb"/>
              <w:spacing w:before="0" w:beforeAutospacing="0" w:after="0" w:afterAutospacing="0"/>
              <w:jc w:val="both"/>
              <w:rPr>
                <w:rFonts w:ascii="Calibri" w:hAnsi="Calibri"/>
                <w:b/>
              </w:rPr>
            </w:pPr>
            <w:r w:rsidRPr="000D0232">
              <w:rPr>
                <w:rFonts w:ascii="Calibri" w:hAnsi="Calibri"/>
                <w:b/>
              </w:rPr>
              <w:t>Colombo, Sri Lanka:</w:t>
            </w:r>
          </w:p>
          <w:p w14:paraId="7150230A" w14:textId="3E6DB1E5" w:rsidR="000F3E84" w:rsidRDefault="00A41603" w:rsidP="00C34B02">
            <w:pPr>
              <w:pStyle w:val="NormalWeb"/>
              <w:spacing w:before="0" w:beforeAutospacing="0" w:after="0" w:afterAutospacing="0"/>
              <w:jc w:val="both"/>
              <w:rPr>
                <w:rFonts w:ascii="Calibri" w:hAnsi="Calibri"/>
              </w:rPr>
            </w:pPr>
            <w:r w:rsidRPr="000D0232">
              <w:rPr>
                <w:rFonts w:ascii="Calibri" w:hAnsi="Calibri"/>
              </w:rPr>
              <w:t xml:space="preserve">The IWMI, </w:t>
            </w:r>
            <w:r w:rsidR="00C9599E" w:rsidRPr="000D0232">
              <w:rPr>
                <w:rFonts w:ascii="Calibri" w:hAnsi="Calibri"/>
              </w:rPr>
              <w:t xml:space="preserve">FAO </w:t>
            </w:r>
            <w:r w:rsidRPr="000D0232">
              <w:rPr>
                <w:rFonts w:ascii="Calibri" w:hAnsi="Calibri"/>
              </w:rPr>
              <w:t xml:space="preserve">and RUAF, along with the </w:t>
            </w:r>
            <w:r w:rsidR="000D0232">
              <w:rPr>
                <w:rFonts w:ascii="Calibri" w:hAnsi="Calibri" w:cs="Tahoma"/>
              </w:rPr>
              <w:t>Colombo Municipal Council</w:t>
            </w:r>
            <w:r w:rsidRPr="000D0232">
              <w:rPr>
                <w:rFonts w:ascii="Calibri" w:hAnsi="Calibri" w:cs="Tahoma"/>
              </w:rPr>
              <w:t xml:space="preserve"> as the institutional focal point</w:t>
            </w:r>
            <w:r w:rsidRPr="000D0232">
              <w:rPr>
                <w:rFonts w:ascii="Calibri" w:hAnsi="Calibri"/>
              </w:rPr>
              <w:t xml:space="preserve"> are jointly implementing the Colombo </w:t>
            </w:r>
            <w:r w:rsidR="000D0232">
              <w:rPr>
                <w:rFonts w:ascii="Calibri" w:hAnsi="Calibri"/>
              </w:rPr>
              <w:t>CRFS</w:t>
            </w:r>
            <w:r w:rsidR="00C9599E" w:rsidRPr="000D0232">
              <w:rPr>
                <w:rFonts w:ascii="Calibri" w:hAnsi="Calibri"/>
              </w:rPr>
              <w:t xml:space="preserve"> approach. The project has raised interest at </w:t>
            </w:r>
            <w:r w:rsidR="00BA2029">
              <w:rPr>
                <w:rFonts w:ascii="Calibri" w:hAnsi="Calibri"/>
              </w:rPr>
              <w:t>province</w:t>
            </w:r>
            <w:r w:rsidR="00C9599E" w:rsidRPr="000D0232">
              <w:rPr>
                <w:rFonts w:ascii="Calibri" w:hAnsi="Calibri"/>
              </w:rPr>
              <w:t xml:space="preserve"> level, within the Ministry of Megapolis and Western Development’s Masterplan.</w:t>
            </w:r>
            <w:r w:rsidR="00C9599E" w:rsidRPr="000D0232">
              <w:rPr>
                <w:rFonts w:ascii="Calibri" w:hAnsi="Calibri" w:cs="Tahoma"/>
                <w:szCs w:val="16"/>
              </w:rPr>
              <w:t xml:space="preserve"> </w:t>
            </w:r>
            <w:r w:rsidR="0003579E">
              <w:rPr>
                <w:rFonts w:ascii="Calibri" w:hAnsi="Calibri" w:cs="Tahoma"/>
                <w:szCs w:val="16"/>
              </w:rPr>
              <w:t>The</w:t>
            </w:r>
            <w:r w:rsidRPr="000D0232">
              <w:rPr>
                <w:rFonts w:ascii="Calibri" w:hAnsi="Calibri" w:cs="Tahoma"/>
                <w:szCs w:val="16"/>
              </w:rPr>
              <w:t xml:space="preserve"> </w:t>
            </w:r>
            <w:r w:rsidRPr="000D0232">
              <w:rPr>
                <w:rFonts w:ascii="Calibri" w:hAnsi="Calibri"/>
              </w:rPr>
              <w:t>assessment</w:t>
            </w:r>
            <w:r w:rsidR="0003579E">
              <w:rPr>
                <w:rFonts w:ascii="Calibri" w:hAnsi="Calibri"/>
              </w:rPr>
              <w:t xml:space="preserve"> will be up scaled</w:t>
            </w:r>
            <w:r w:rsidRPr="000D0232">
              <w:rPr>
                <w:rFonts w:ascii="Calibri" w:hAnsi="Calibri"/>
              </w:rPr>
              <w:t xml:space="preserve"> and an analysis of challenges to the future food system</w:t>
            </w:r>
            <w:r w:rsidR="000D0232">
              <w:rPr>
                <w:rFonts w:ascii="Calibri" w:hAnsi="Calibri"/>
              </w:rPr>
              <w:t xml:space="preserve"> will be conducted, based on the experience and with the support of t</w:t>
            </w:r>
            <w:r w:rsidRPr="000D0232">
              <w:rPr>
                <w:rFonts w:ascii="Calibri" w:hAnsi="Calibri"/>
              </w:rPr>
              <w:t xml:space="preserve">he Colombo CRFS </w:t>
            </w:r>
            <w:r w:rsidR="000D0232">
              <w:rPr>
                <w:rFonts w:ascii="Calibri" w:hAnsi="Calibri"/>
              </w:rPr>
              <w:t>initiative.</w:t>
            </w:r>
            <w:r w:rsidR="001B29C9">
              <w:rPr>
                <w:rFonts w:ascii="Calibri" w:hAnsi="Calibri"/>
              </w:rPr>
              <w:t xml:space="preserve"> Ultimately the results will be integrated into the development masterplan.</w:t>
            </w:r>
          </w:p>
          <w:p w14:paraId="2142CC35" w14:textId="17ECC50C" w:rsidR="000D0232" w:rsidRDefault="000D0232" w:rsidP="000D0232">
            <w:pPr>
              <w:pStyle w:val="NormalWeb"/>
              <w:rPr>
                <w:b/>
              </w:rPr>
            </w:pPr>
          </w:p>
        </w:tc>
      </w:tr>
    </w:tbl>
    <w:p w14:paraId="26AF3958" w14:textId="77777777" w:rsidR="000F3E84" w:rsidRPr="000F3E84" w:rsidRDefault="000F3E84" w:rsidP="000F3E84">
      <w:pPr>
        <w:spacing w:after="80" w:line="20" w:lineRule="atLeast"/>
        <w:jc w:val="both"/>
        <w:rPr>
          <w:b/>
          <w:sz w:val="24"/>
          <w:szCs w:val="24"/>
          <w:lang w:val="en-US"/>
        </w:rPr>
      </w:pPr>
    </w:p>
    <w:p w14:paraId="2B37B91D" w14:textId="77777777" w:rsidR="007572A9" w:rsidRPr="000F3E84" w:rsidRDefault="007572A9" w:rsidP="000F3E84">
      <w:pPr>
        <w:spacing w:after="80" w:line="20" w:lineRule="atLeast"/>
        <w:jc w:val="both"/>
        <w:rPr>
          <w:b/>
          <w:sz w:val="24"/>
          <w:szCs w:val="24"/>
          <w:lang w:val="en-US"/>
        </w:rPr>
      </w:pPr>
      <w:r w:rsidRPr="000F3E84">
        <w:rPr>
          <w:b/>
          <w:sz w:val="24"/>
          <w:szCs w:val="24"/>
          <w:lang w:val="en-US"/>
        </w:rPr>
        <w:t xml:space="preserve">Challenges faced </w:t>
      </w:r>
    </w:p>
    <w:tbl>
      <w:tblPr>
        <w:tblStyle w:val="TableGrid"/>
        <w:tblW w:w="0" w:type="auto"/>
        <w:tblLook w:val="04A0" w:firstRow="1" w:lastRow="0" w:firstColumn="1" w:lastColumn="0" w:noHBand="0" w:noVBand="1"/>
      </w:tblPr>
      <w:tblGrid>
        <w:gridCol w:w="9158"/>
      </w:tblGrid>
      <w:tr w:rsidR="000F3E84" w14:paraId="083C6EA7" w14:textId="77777777" w:rsidTr="00E53E42">
        <w:tc>
          <w:tcPr>
            <w:tcW w:w="9158" w:type="dxa"/>
          </w:tcPr>
          <w:p w14:paraId="13C566B4" w14:textId="17738DC2" w:rsidR="000F3E84" w:rsidRDefault="000F3E84" w:rsidP="000F3E84">
            <w:pPr>
              <w:spacing w:after="80" w:line="20" w:lineRule="atLeast"/>
              <w:jc w:val="both"/>
              <w:rPr>
                <w:b/>
                <w:sz w:val="24"/>
                <w:szCs w:val="24"/>
                <w:lang w:val="en-US"/>
              </w:rPr>
            </w:pPr>
          </w:p>
          <w:p w14:paraId="1701C0B7" w14:textId="23B9C0ED" w:rsidR="000F3E84" w:rsidRPr="000D0232" w:rsidRDefault="00C9599E" w:rsidP="009A3258">
            <w:pPr>
              <w:pStyle w:val="ListParagraph"/>
              <w:numPr>
                <w:ilvl w:val="0"/>
                <w:numId w:val="4"/>
              </w:numPr>
              <w:spacing w:after="80" w:line="20" w:lineRule="atLeast"/>
              <w:jc w:val="both"/>
              <w:rPr>
                <w:sz w:val="24"/>
                <w:szCs w:val="24"/>
                <w:lang w:val="en-US"/>
              </w:rPr>
            </w:pPr>
            <w:r w:rsidRPr="000D0232">
              <w:rPr>
                <w:sz w:val="24"/>
                <w:szCs w:val="24"/>
                <w:lang w:val="en-US"/>
              </w:rPr>
              <w:t xml:space="preserve">Multistakeholder governance processes: a CRFS approach implies </w:t>
            </w:r>
            <w:r w:rsidR="009A3258" w:rsidRPr="000D0232">
              <w:rPr>
                <w:sz w:val="24"/>
                <w:szCs w:val="24"/>
                <w:lang w:val="en-US"/>
              </w:rPr>
              <w:t>to go beyond administrative boundaries, but also beyond sectoral barriers. Putting together stakeholders from different administrative units and sectors is crucial</w:t>
            </w:r>
            <w:r w:rsidR="000D0232">
              <w:rPr>
                <w:sz w:val="24"/>
                <w:szCs w:val="24"/>
                <w:lang w:val="en-US"/>
              </w:rPr>
              <w:t>;</w:t>
            </w:r>
          </w:p>
          <w:p w14:paraId="55E9E33B" w14:textId="14AA8598" w:rsidR="008959B1" w:rsidRPr="000D0232" w:rsidRDefault="00505A41" w:rsidP="009A3258">
            <w:pPr>
              <w:pStyle w:val="ListParagraph"/>
              <w:numPr>
                <w:ilvl w:val="0"/>
                <w:numId w:val="4"/>
              </w:numPr>
              <w:spacing w:after="80" w:line="20" w:lineRule="atLeast"/>
              <w:jc w:val="both"/>
              <w:rPr>
                <w:sz w:val="24"/>
                <w:szCs w:val="24"/>
                <w:lang w:val="en-US"/>
              </w:rPr>
            </w:pPr>
            <w:r w:rsidRPr="000D0232">
              <w:rPr>
                <w:sz w:val="24"/>
                <w:szCs w:val="24"/>
                <w:lang w:val="en-US"/>
              </w:rPr>
              <w:t>Availability of data at city level</w:t>
            </w:r>
            <w:r w:rsidR="00C9599E" w:rsidRPr="000D0232">
              <w:rPr>
                <w:sz w:val="24"/>
                <w:szCs w:val="24"/>
                <w:lang w:val="en-US"/>
              </w:rPr>
              <w:t xml:space="preserve"> when conducting the CRFS assessment and data collection phase</w:t>
            </w:r>
            <w:r w:rsidR="000D0232">
              <w:rPr>
                <w:sz w:val="24"/>
                <w:szCs w:val="24"/>
                <w:lang w:val="en-US"/>
              </w:rPr>
              <w:t>;</w:t>
            </w:r>
          </w:p>
          <w:p w14:paraId="42ECF4AE" w14:textId="5BC0BA0C" w:rsidR="00505A41" w:rsidRDefault="000D0232" w:rsidP="009A3258">
            <w:pPr>
              <w:pStyle w:val="ListParagraph"/>
              <w:numPr>
                <w:ilvl w:val="0"/>
                <w:numId w:val="4"/>
              </w:numPr>
              <w:spacing w:after="80" w:line="20" w:lineRule="atLeast"/>
              <w:jc w:val="both"/>
              <w:rPr>
                <w:sz w:val="24"/>
                <w:szCs w:val="24"/>
                <w:lang w:val="en-US"/>
              </w:rPr>
            </w:pPr>
            <w:r>
              <w:rPr>
                <w:sz w:val="24"/>
                <w:szCs w:val="24"/>
                <w:lang w:val="en-US"/>
              </w:rPr>
              <w:t>Complex, systemic and local-</w:t>
            </w:r>
            <w:r w:rsidR="009A3258" w:rsidRPr="000D0232">
              <w:rPr>
                <w:sz w:val="24"/>
                <w:szCs w:val="24"/>
                <w:lang w:val="en-US"/>
              </w:rPr>
              <w:t>specific approach that can lead to</w:t>
            </w:r>
            <w:r w:rsidR="00505A41" w:rsidRPr="000D0232">
              <w:rPr>
                <w:sz w:val="24"/>
                <w:szCs w:val="24"/>
                <w:lang w:val="en-US"/>
              </w:rPr>
              <w:t xml:space="preserve"> difficulties to understand</w:t>
            </w:r>
            <w:r w:rsidR="009A3258" w:rsidRPr="000D0232">
              <w:rPr>
                <w:sz w:val="24"/>
                <w:szCs w:val="24"/>
                <w:lang w:val="en-US"/>
              </w:rPr>
              <w:t xml:space="preserve"> and implement</w:t>
            </w:r>
            <w:r w:rsidR="00505A41" w:rsidRPr="000D0232">
              <w:rPr>
                <w:sz w:val="24"/>
                <w:szCs w:val="24"/>
                <w:lang w:val="en-US"/>
              </w:rPr>
              <w:t xml:space="preserve"> the concept</w:t>
            </w:r>
            <w:r w:rsidR="00BA2029">
              <w:rPr>
                <w:sz w:val="24"/>
                <w:szCs w:val="24"/>
                <w:lang w:val="en-US"/>
              </w:rPr>
              <w:t xml:space="preserve"> locally;</w:t>
            </w:r>
          </w:p>
          <w:p w14:paraId="644C61CD" w14:textId="0BAE4B89" w:rsidR="00C50600" w:rsidRPr="000D0232" w:rsidRDefault="00C50600" w:rsidP="009A3258">
            <w:pPr>
              <w:pStyle w:val="ListParagraph"/>
              <w:numPr>
                <w:ilvl w:val="0"/>
                <w:numId w:val="4"/>
              </w:numPr>
              <w:spacing w:after="80" w:line="20" w:lineRule="atLeast"/>
              <w:jc w:val="both"/>
              <w:rPr>
                <w:sz w:val="24"/>
                <w:szCs w:val="24"/>
                <w:lang w:val="en-US"/>
              </w:rPr>
            </w:pPr>
            <w:r>
              <w:rPr>
                <w:sz w:val="24"/>
                <w:szCs w:val="24"/>
                <w:lang w:val="en-US"/>
              </w:rPr>
              <w:t>Raise the awareness of sustainable food systems and the importance of food system planning among the policy makers</w:t>
            </w:r>
            <w:r w:rsidR="00BA2029">
              <w:rPr>
                <w:sz w:val="24"/>
                <w:szCs w:val="24"/>
                <w:lang w:val="en-US"/>
              </w:rPr>
              <w:t>.</w:t>
            </w:r>
            <w:bookmarkStart w:id="0" w:name="_GoBack"/>
            <w:bookmarkEnd w:id="0"/>
          </w:p>
          <w:p w14:paraId="394ADE3C" w14:textId="77777777" w:rsidR="000F3E84" w:rsidRDefault="000F3E84" w:rsidP="000F3E84">
            <w:pPr>
              <w:spacing w:after="80" w:line="20" w:lineRule="atLeast"/>
              <w:jc w:val="both"/>
              <w:rPr>
                <w:b/>
                <w:sz w:val="24"/>
                <w:szCs w:val="24"/>
                <w:lang w:val="en-US"/>
              </w:rPr>
            </w:pPr>
          </w:p>
        </w:tc>
      </w:tr>
    </w:tbl>
    <w:p w14:paraId="116DC1C1" w14:textId="77777777" w:rsidR="000F3E84" w:rsidRPr="000F3E84" w:rsidRDefault="000F3E84" w:rsidP="000F3E84">
      <w:pPr>
        <w:spacing w:after="80" w:line="20" w:lineRule="atLeast"/>
        <w:jc w:val="both"/>
        <w:rPr>
          <w:b/>
          <w:sz w:val="24"/>
          <w:szCs w:val="24"/>
          <w:lang w:val="en-US"/>
        </w:rPr>
      </w:pPr>
    </w:p>
    <w:p w14:paraId="3AAECEB9" w14:textId="77777777" w:rsidR="007572A9" w:rsidRPr="000F3E84" w:rsidRDefault="007572A9" w:rsidP="000F3E84">
      <w:pPr>
        <w:spacing w:after="80" w:line="20" w:lineRule="atLeast"/>
        <w:jc w:val="both"/>
        <w:rPr>
          <w:b/>
          <w:sz w:val="24"/>
          <w:szCs w:val="24"/>
          <w:lang w:val="en-US"/>
        </w:rPr>
      </w:pPr>
      <w:r w:rsidRPr="000F3E84">
        <w:rPr>
          <w:b/>
          <w:sz w:val="24"/>
          <w:szCs w:val="24"/>
          <w:lang w:val="en-US"/>
        </w:rPr>
        <w:t>Lessons/Key messages</w:t>
      </w:r>
    </w:p>
    <w:tbl>
      <w:tblPr>
        <w:tblStyle w:val="TableGrid"/>
        <w:tblW w:w="0" w:type="auto"/>
        <w:tblLook w:val="04A0" w:firstRow="1" w:lastRow="0" w:firstColumn="1" w:lastColumn="0" w:noHBand="0" w:noVBand="1"/>
      </w:tblPr>
      <w:tblGrid>
        <w:gridCol w:w="9158"/>
      </w:tblGrid>
      <w:tr w:rsidR="000F3E84" w14:paraId="21489E46" w14:textId="77777777" w:rsidTr="00E53E42">
        <w:tc>
          <w:tcPr>
            <w:tcW w:w="9158" w:type="dxa"/>
          </w:tcPr>
          <w:p w14:paraId="5F3D5F3B" w14:textId="1DC981C0" w:rsidR="000F3E84" w:rsidRDefault="000F3E84" w:rsidP="000F3E84">
            <w:pPr>
              <w:spacing w:after="80" w:line="20" w:lineRule="atLeast"/>
              <w:jc w:val="both"/>
              <w:rPr>
                <w:b/>
                <w:sz w:val="24"/>
                <w:szCs w:val="24"/>
                <w:lang w:val="en-US"/>
              </w:rPr>
            </w:pPr>
          </w:p>
          <w:p w14:paraId="507B33F9" w14:textId="609A619D" w:rsidR="000F3E84" w:rsidRPr="000D0232" w:rsidRDefault="009A3258" w:rsidP="009A3258">
            <w:pPr>
              <w:pStyle w:val="ListParagraph"/>
              <w:numPr>
                <w:ilvl w:val="0"/>
                <w:numId w:val="4"/>
              </w:numPr>
              <w:spacing w:after="80" w:line="20" w:lineRule="atLeast"/>
              <w:jc w:val="both"/>
              <w:rPr>
                <w:sz w:val="24"/>
                <w:szCs w:val="24"/>
                <w:lang w:val="en-US"/>
              </w:rPr>
            </w:pPr>
            <w:r w:rsidRPr="000D0232">
              <w:rPr>
                <w:sz w:val="24"/>
                <w:szCs w:val="24"/>
                <w:lang w:val="en-US"/>
              </w:rPr>
              <w:t xml:space="preserve">Multistakeholder dialogue is key in strengthening CRFS: food related issues are transversal </w:t>
            </w:r>
            <w:r w:rsidR="007B499D" w:rsidRPr="000D0232">
              <w:rPr>
                <w:sz w:val="24"/>
                <w:szCs w:val="24"/>
                <w:lang w:val="en-US"/>
              </w:rPr>
              <w:t>and need multiscale and multisectoral dialogue</w:t>
            </w:r>
            <w:r w:rsidR="000D0232" w:rsidRPr="000D0232">
              <w:rPr>
                <w:sz w:val="24"/>
                <w:szCs w:val="24"/>
                <w:lang w:val="en-US"/>
              </w:rPr>
              <w:t>;</w:t>
            </w:r>
          </w:p>
          <w:p w14:paraId="51612F68" w14:textId="2959218C" w:rsidR="007B499D" w:rsidRDefault="001B29C9" w:rsidP="009A3258">
            <w:pPr>
              <w:pStyle w:val="ListParagraph"/>
              <w:numPr>
                <w:ilvl w:val="0"/>
                <w:numId w:val="4"/>
              </w:numPr>
              <w:spacing w:after="80" w:line="20" w:lineRule="atLeast"/>
              <w:jc w:val="both"/>
              <w:rPr>
                <w:sz w:val="24"/>
                <w:szCs w:val="24"/>
                <w:lang w:val="en-US"/>
              </w:rPr>
            </w:pPr>
            <w:r>
              <w:rPr>
                <w:sz w:val="24"/>
                <w:szCs w:val="24"/>
                <w:lang w:val="en-US"/>
              </w:rPr>
              <w:t>Local governments and stakeholders are key players in reshaping the food system at city region level, and the complexity of the system approach can effectively be implemented at this scale</w:t>
            </w:r>
            <w:r w:rsidR="00BA2029">
              <w:rPr>
                <w:sz w:val="24"/>
                <w:szCs w:val="24"/>
                <w:lang w:val="en-US"/>
              </w:rPr>
              <w:t>;</w:t>
            </w:r>
          </w:p>
          <w:p w14:paraId="08459734" w14:textId="70B68D11" w:rsidR="00C50600" w:rsidRPr="00C34B02" w:rsidRDefault="00C50600" w:rsidP="009A3258">
            <w:pPr>
              <w:pStyle w:val="ListParagraph"/>
              <w:numPr>
                <w:ilvl w:val="0"/>
                <w:numId w:val="4"/>
              </w:numPr>
              <w:spacing w:after="80" w:line="20" w:lineRule="atLeast"/>
              <w:jc w:val="both"/>
              <w:rPr>
                <w:sz w:val="24"/>
                <w:szCs w:val="24"/>
                <w:lang w:val="en-US"/>
              </w:rPr>
            </w:pPr>
            <w:r>
              <w:rPr>
                <w:sz w:val="24"/>
                <w:szCs w:val="24"/>
                <w:lang w:val="en-US"/>
              </w:rPr>
              <w:t>Use different indicators of food system in different cities to match the unique local demand and characteristics.</w:t>
            </w:r>
          </w:p>
          <w:p w14:paraId="6C193314" w14:textId="77777777" w:rsidR="00EF27D3" w:rsidRDefault="00EF27D3" w:rsidP="000F3E84">
            <w:pPr>
              <w:spacing w:after="80" w:line="20" w:lineRule="atLeast"/>
              <w:jc w:val="both"/>
              <w:rPr>
                <w:b/>
                <w:sz w:val="24"/>
                <w:szCs w:val="24"/>
                <w:lang w:val="en-US"/>
              </w:rPr>
            </w:pPr>
          </w:p>
          <w:p w14:paraId="2185B39F" w14:textId="77777777" w:rsidR="000F3E84" w:rsidRDefault="000F3E84" w:rsidP="000F3E84">
            <w:pPr>
              <w:spacing w:after="80" w:line="20" w:lineRule="atLeast"/>
              <w:jc w:val="both"/>
              <w:rPr>
                <w:b/>
                <w:sz w:val="24"/>
                <w:szCs w:val="24"/>
                <w:lang w:val="en-US"/>
              </w:rPr>
            </w:pPr>
          </w:p>
        </w:tc>
      </w:tr>
    </w:tbl>
    <w:p w14:paraId="082EC860" w14:textId="77777777" w:rsidR="002C47CC" w:rsidRPr="000F3E84" w:rsidRDefault="002C47CC" w:rsidP="000F3E84">
      <w:pPr>
        <w:spacing w:after="80" w:line="20" w:lineRule="atLeast"/>
        <w:rPr>
          <w:sz w:val="24"/>
          <w:szCs w:val="24"/>
        </w:rPr>
      </w:pPr>
    </w:p>
    <w:sectPr w:rsidR="002C47CC" w:rsidRPr="000F3E84" w:rsidSect="00525A94">
      <w:headerReference w:type="first" r:id="rId8"/>
      <w:pgSz w:w="11906" w:h="16838"/>
      <w:pgMar w:top="1440" w:right="1440" w:bottom="1003" w:left="129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31582" w14:textId="77777777" w:rsidR="00216B71" w:rsidRDefault="00216B71" w:rsidP="000F3E84">
      <w:pPr>
        <w:spacing w:after="0" w:line="240" w:lineRule="auto"/>
      </w:pPr>
      <w:r>
        <w:separator/>
      </w:r>
    </w:p>
  </w:endnote>
  <w:endnote w:type="continuationSeparator" w:id="0">
    <w:p w14:paraId="19BE2679" w14:textId="77777777" w:rsidR="00216B71" w:rsidRDefault="00216B71" w:rsidP="000F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CC6A6" w14:textId="77777777" w:rsidR="00216B71" w:rsidRDefault="00216B71" w:rsidP="000F3E84">
      <w:pPr>
        <w:spacing w:after="0" w:line="240" w:lineRule="auto"/>
      </w:pPr>
      <w:r>
        <w:separator/>
      </w:r>
    </w:p>
  </w:footnote>
  <w:footnote w:type="continuationSeparator" w:id="0">
    <w:p w14:paraId="7102CABA" w14:textId="77777777" w:rsidR="00216B71" w:rsidRDefault="00216B71" w:rsidP="000F3E84">
      <w:pPr>
        <w:spacing w:after="0" w:line="240" w:lineRule="auto"/>
      </w:pPr>
      <w:r>
        <w:continuationSeparator/>
      </w:r>
    </w:p>
  </w:footnote>
  <w:footnote w:id="1">
    <w:p w14:paraId="7BB8E1E2" w14:textId="31120C08" w:rsidR="00216B71" w:rsidRPr="00BA2029" w:rsidRDefault="00216B71" w:rsidP="00C34B02">
      <w:pPr>
        <w:pStyle w:val="FootnoteText"/>
        <w:rPr>
          <w:sz w:val="16"/>
        </w:rPr>
      </w:pPr>
      <w:r w:rsidRPr="00BA2029">
        <w:rPr>
          <w:rStyle w:val="FootnoteReference"/>
          <w:sz w:val="18"/>
        </w:rPr>
        <w:footnoteRef/>
      </w:r>
      <w:r w:rsidRPr="00BA2029">
        <w:rPr>
          <w:sz w:val="16"/>
        </w:rPr>
        <w:t xml:space="preserve"> </w:t>
      </w:r>
      <w:r w:rsidRPr="00BA2029">
        <w:rPr>
          <w:rFonts w:asciiTheme="minorHAnsi" w:hAnsiTheme="minorHAnsi"/>
          <w:sz w:val="18"/>
        </w:rPr>
        <w:t>United Nations (UN), Department of Economic and Social Affairs, Population Division, 2014.</w:t>
      </w:r>
      <w:r w:rsidRPr="00BA2029">
        <w:rPr>
          <w:rFonts w:asciiTheme="minorHAnsi" w:hAnsiTheme="minorHAnsi"/>
          <w:i/>
          <w:iCs/>
          <w:sz w:val="18"/>
        </w:rPr>
        <w:t xml:space="preserve"> World Urbanization Prospects: The 2014 Revision, Highlights. </w:t>
      </w:r>
      <w:r w:rsidRPr="00BA2029">
        <w:rPr>
          <w:rFonts w:asciiTheme="minorHAnsi" w:hAnsiTheme="minorHAnsi"/>
          <w:iCs/>
          <w:sz w:val="18"/>
        </w:rPr>
        <w:t>New-York, USA: United Nations, 32p</w:t>
      </w:r>
    </w:p>
  </w:footnote>
  <w:footnote w:id="2">
    <w:p w14:paraId="424D9887" w14:textId="520E1B91" w:rsidR="00216B71" w:rsidRPr="00BA2029" w:rsidRDefault="00216B71" w:rsidP="00C34B02">
      <w:pPr>
        <w:spacing w:after="0" w:line="240" w:lineRule="auto"/>
        <w:jc w:val="both"/>
        <w:rPr>
          <w:rFonts w:eastAsiaTheme="minorHAnsi"/>
          <w:sz w:val="18"/>
          <w:szCs w:val="24"/>
          <w:lang w:val="en-US"/>
        </w:rPr>
      </w:pPr>
      <w:r w:rsidRPr="00BA2029">
        <w:rPr>
          <w:rStyle w:val="FootnoteReference"/>
          <w:sz w:val="18"/>
        </w:rPr>
        <w:footnoteRef/>
      </w:r>
      <w:r w:rsidRPr="00BA2029">
        <w:rPr>
          <w:sz w:val="18"/>
          <w:lang w:val="es-CO"/>
        </w:rPr>
        <w:t xml:space="preserve"> </w:t>
      </w:r>
      <w:r w:rsidRPr="00BA2029">
        <w:rPr>
          <w:rFonts w:eastAsiaTheme="minorHAnsi"/>
          <w:sz w:val="18"/>
          <w:lang w:val="it-IT"/>
        </w:rPr>
        <w:t xml:space="preserve">Berdegué J. A,.  Cazzuffi C., Proctor F. J., 2014. </w:t>
      </w:r>
      <w:r w:rsidRPr="00BA2029">
        <w:rPr>
          <w:i/>
          <w:sz w:val="18"/>
        </w:rPr>
        <w:t>Inclusive Rural–Urban Linkages.</w:t>
      </w:r>
      <w:r w:rsidRPr="00BA2029">
        <w:rPr>
          <w:sz w:val="18"/>
        </w:rPr>
        <w:t xml:space="preserve"> Santiago, Chili: RIMISP, Working Group Development with Territorial Cohesion, 118p.</w:t>
      </w:r>
    </w:p>
  </w:footnote>
  <w:footnote w:id="3">
    <w:p w14:paraId="1DDD68E7" w14:textId="77777777" w:rsidR="00216B71" w:rsidRPr="00BA2029" w:rsidRDefault="00216B71" w:rsidP="00C34B02">
      <w:pPr>
        <w:pStyle w:val="ListParagraph1"/>
        <w:numPr>
          <w:ilvl w:val="0"/>
          <w:numId w:val="0"/>
        </w:numPr>
        <w:rPr>
          <w:rFonts w:asciiTheme="minorHAnsi" w:hAnsiTheme="minorHAnsi"/>
          <w:sz w:val="18"/>
          <w:lang w:val="en-US"/>
        </w:rPr>
      </w:pPr>
      <w:r w:rsidRPr="00BA2029">
        <w:rPr>
          <w:rStyle w:val="FootnoteReference"/>
          <w:sz w:val="18"/>
        </w:rPr>
        <w:footnoteRef/>
      </w:r>
      <w:r w:rsidRPr="00BA2029">
        <w:rPr>
          <w:sz w:val="16"/>
        </w:rPr>
        <w:t xml:space="preserve"> </w:t>
      </w:r>
      <w:r w:rsidRPr="00BA2029">
        <w:rPr>
          <w:rFonts w:asciiTheme="minorHAnsi" w:hAnsiTheme="minorHAnsi"/>
          <w:sz w:val="18"/>
          <w:lang w:val="en-US"/>
        </w:rPr>
        <w:t>De Schutter, O., 2014.  Report of the Special Rapporteur on the right to food. Final report: The transformative potential of the right to food</w:t>
      </w:r>
    </w:p>
    <w:p w14:paraId="02222385" w14:textId="4AE3BD2E" w:rsidR="00216B71" w:rsidRDefault="00216B71">
      <w:pPr>
        <w:pStyle w:val="FootnoteText"/>
      </w:pPr>
    </w:p>
  </w:footnote>
  <w:footnote w:id="4">
    <w:p w14:paraId="4C0583A2" w14:textId="77777777" w:rsidR="00216B71" w:rsidRPr="00BA2029" w:rsidRDefault="00216B71" w:rsidP="009879C4">
      <w:pPr>
        <w:pStyle w:val="FootnoteText"/>
        <w:rPr>
          <w:sz w:val="18"/>
          <w:szCs w:val="16"/>
        </w:rPr>
      </w:pPr>
      <w:r w:rsidRPr="00BA2029">
        <w:rPr>
          <w:rStyle w:val="FootnoteReference"/>
          <w:sz w:val="18"/>
          <w:szCs w:val="16"/>
        </w:rPr>
        <w:footnoteRef/>
      </w:r>
      <w:r w:rsidRPr="00BA2029">
        <w:rPr>
          <w:sz w:val="18"/>
          <w:szCs w:val="16"/>
        </w:rPr>
        <w:t xml:space="preserve"> </w:t>
      </w:r>
      <w:hyperlink r:id="rId1" w:history="1">
        <w:r w:rsidRPr="00BA2029">
          <w:rPr>
            <w:rStyle w:val="Hyperlink"/>
            <w:color w:val="auto"/>
            <w:sz w:val="18"/>
            <w:szCs w:val="16"/>
          </w:rPr>
          <w:t>www.cityregionfoodsystems.org</w:t>
        </w:r>
      </w:hyperlink>
      <w:r w:rsidRPr="00BA2029">
        <w:rPr>
          <w:sz w:val="18"/>
          <w:szCs w:val="16"/>
        </w:rPr>
        <w:t xml:space="preserve"> </w:t>
      </w:r>
    </w:p>
  </w:footnote>
  <w:footnote w:id="5">
    <w:p w14:paraId="2A015F26" w14:textId="77777777" w:rsidR="00216B71" w:rsidRPr="00BA2029" w:rsidRDefault="00216B71" w:rsidP="00C34B02">
      <w:pPr>
        <w:pStyle w:val="ListParagraph1"/>
        <w:numPr>
          <w:ilvl w:val="0"/>
          <w:numId w:val="0"/>
        </w:numPr>
        <w:spacing w:after="120"/>
        <w:rPr>
          <w:rFonts w:asciiTheme="minorHAnsi" w:hAnsiTheme="minorHAnsi"/>
          <w:sz w:val="18"/>
          <w:szCs w:val="16"/>
          <w:lang w:val="en-US"/>
        </w:rPr>
      </w:pPr>
      <w:r w:rsidRPr="00BA2029">
        <w:rPr>
          <w:rStyle w:val="FootnoteReference"/>
          <w:sz w:val="18"/>
          <w:szCs w:val="16"/>
        </w:rPr>
        <w:footnoteRef/>
      </w:r>
      <w:r w:rsidRPr="00BA2029">
        <w:rPr>
          <w:sz w:val="18"/>
          <w:szCs w:val="16"/>
        </w:rPr>
        <w:t xml:space="preserve"> </w:t>
      </w:r>
      <w:r w:rsidRPr="00BA2029">
        <w:rPr>
          <w:rFonts w:asciiTheme="minorHAnsi" w:hAnsiTheme="minorHAnsi"/>
          <w:sz w:val="18"/>
          <w:szCs w:val="16"/>
          <w:lang w:val="en-US"/>
        </w:rPr>
        <w:t>Desakota Study Team, 2008. Re-imagining the Rural-Urban Continuum: Understanding the role ecosystem services play in the livelihoods of the poor in desakota regions undergoing rapid change. Institute for Social and Environmental Transition-Nepal (ISET-N), Kathmandu, Nepal. ISBN: 978-9937-8019-1-1, 125 pp.</w:t>
      </w:r>
    </w:p>
    <w:p w14:paraId="3C6B122D" w14:textId="426B50A3" w:rsidR="00216B71" w:rsidRDefault="00216B7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52" w:type="dxa"/>
      <w:tblInd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7797"/>
    </w:tblGrid>
    <w:tr w:rsidR="00216B71" w14:paraId="4E410F98" w14:textId="77777777" w:rsidTr="00E53E42">
      <w:tc>
        <w:tcPr>
          <w:tcW w:w="1855" w:type="dxa"/>
        </w:tcPr>
        <w:p w14:paraId="5F9778F8" w14:textId="77777777" w:rsidR="00216B71" w:rsidRDefault="00216B71" w:rsidP="00525A94">
          <w:pPr>
            <w:pStyle w:val="Header"/>
            <w:ind w:left="60"/>
          </w:pPr>
          <w:r>
            <w:rPr>
              <w:noProof/>
              <w:lang w:val="en-US" w:eastAsia="en-US"/>
            </w:rPr>
            <w:drawing>
              <wp:inline distT="0" distB="0" distL="0" distR="0" wp14:anchorId="31002C30" wp14:editId="6EABEB7A">
                <wp:extent cx="713105" cy="7131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inline>
            </w:drawing>
          </w:r>
        </w:p>
      </w:tc>
      <w:tc>
        <w:tcPr>
          <w:tcW w:w="7797" w:type="dxa"/>
          <w:vAlign w:val="center"/>
        </w:tcPr>
        <w:p w14:paraId="5108A812" w14:textId="77777777" w:rsidR="00216B71" w:rsidRPr="00062C9A" w:rsidRDefault="00216B71" w:rsidP="00525A94">
          <w:pPr>
            <w:rPr>
              <w:b/>
              <w:sz w:val="32"/>
              <w:szCs w:val="32"/>
            </w:rPr>
          </w:pPr>
          <w:r>
            <w:rPr>
              <w:b/>
              <w:sz w:val="32"/>
              <w:szCs w:val="32"/>
            </w:rPr>
            <w:t>C</w:t>
          </w:r>
          <w:r w:rsidRPr="00062C9A">
            <w:rPr>
              <w:b/>
              <w:sz w:val="32"/>
              <w:szCs w:val="32"/>
            </w:rPr>
            <w:t>all for experiences and effective policy approaches in addressing food security and nutrition in the context of changing rural-urban dynamics</w:t>
          </w:r>
        </w:p>
        <w:p w14:paraId="54249C8B" w14:textId="77777777" w:rsidR="00216B71" w:rsidRPr="00525A94" w:rsidRDefault="00216B71" w:rsidP="00525A94">
          <w:pPr>
            <w:pStyle w:val="ListParagraph"/>
            <w:spacing w:after="0"/>
            <w:ind w:left="0"/>
            <w:rPr>
              <w:b/>
              <w:sz w:val="36"/>
              <w:szCs w:val="36"/>
            </w:rPr>
          </w:pPr>
        </w:p>
        <w:p w14:paraId="1B9670D1" w14:textId="77777777" w:rsidR="00216B71" w:rsidRPr="000F3E84" w:rsidRDefault="00216B71" w:rsidP="00525A94">
          <w:pPr>
            <w:pStyle w:val="ListParagraph"/>
            <w:spacing w:after="0"/>
            <w:ind w:left="0"/>
            <w:rPr>
              <w:b/>
              <w:sz w:val="36"/>
              <w:szCs w:val="36"/>
              <w:lang w:val="en-US"/>
            </w:rPr>
          </w:pPr>
          <w:r w:rsidRPr="000F3E84">
            <w:rPr>
              <w:b/>
              <w:sz w:val="36"/>
              <w:szCs w:val="36"/>
              <w:lang w:val="en-US"/>
            </w:rPr>
            <w:t>Template for submissions</w:t>
          </w:r>
        </w:p>
        <w:p w14:paraId="7572C01D" w14:textId="77777777" w:rsidR="00216B71" w:rsidRPr="000F3E84" w:rsidRDefault="00216B71" w:rsidP="00525A94">
          <w:pPr>
            <w:pStyle w:val="ListParagraph"/>
            <w:spacing w:after="0"/>
            <w:ind w:left="0"/>
            <w:rPr>
              <w:b/>
              <w:lang w:val="en-US"/>
            </w:rPr>
          </w:pPr>
          <w:r>
            <w:rPr>
              <w:b/>
              <w:lang w:val="en-US"/>
            </w:rPr>
            <w:t>(Approximately 1000 words in total)</w:t>
          </w:r>
        </w:p>
      </w:tc>
    </w:tr>
  </w:tbl>
  <w:p w14:paraId="39436484" w14:textId="77777777" w:rsidR="00216B71" w:rsidRDefault="00216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566FECA"/>
    <w:lvl w:ilvl="0">
      <w:start w:val="1"/>
      <w:numFmt w:val="bullet"/>
      <w:pStyle w:val="ListParagraph1"/>
      <w:lvlText w:val=""/>
      <w:lvlJc w:val="left"/>
      <w:pPr>
        <w:tabs>
          <w:tab w:val="num" w:pos="1800"/>
        </w:tabs>
        <w:ind w:left="1800" w:hanging="360"/>
      </w:pPr>
      <w:rPr>
        <w:rFonts w:ascii="Symbol" w:hAnsi="Symbol" w:hint="default"/>
      </w:rPr>
    </w:lvl>
  </w:abstractNum>
  <w:abstractNum w:abstractNumId="1" w15:restartNumberingAfterBreak="0">
    <w:nsid w:val="FFFFFFFB"/>
    <w:multiLevelType w:val="multilevel"/>
    <w:tmpl w:val="6B7CE4E4"/>
    <w:lvl w:ilvl="0">
      <w:start w:val="1"/>
      <w:numFmt w:val="decimal"/>
      <w:lvlRestart w:val="0"/>
      <w:pStyle w:val="Heading1"/>
      <w:lvlText w:val="%1."/>
      <w:lvlJc w:val="left"/>
      <w:pPr>
        <w:tabs>
          <w:tab w:val="num" w:pos="1656"/>
        </w:tabs>
        <w:ind w:left="1656" w:hanging="1656"/>
      </w:pPr>
      <w:rPr>
        <w:rFonts w:cs="Times New Roman" w:hint="default"/>
        <w:b/>
        <w:color w:val="auto"/>
        <w:sz w:val="22"/>
        <w:szCs w:val="22"/>
      </w:rPr>
    </w:lvl>
    <w:lvl w:ilvl="1">
      <w:start w:val="1"/>
      <w:numFmt w:val="decimal"/>
      <w:pStyle w:val="Heading2"/>
      <w:lvlText w:val="%1.%2"/>
      <w:lvlJc w:val="left"/>
      <w:pPr>
        <w:tabs>
          <w:tab w:val="num" w:pos="1656"/>
        </w:tabs>
        <w:ind w:left="1656" w:hanging="1656"/>
      </w:pPr>
      <w:rPr>
        <w:rFonts w:cs="Times New Roman" w:hint="default"/>
      </w:rPr>
    </w:lvl>
    <w:lvl w:ilvl="2">
      <w:start w:val="1"/>
      <w:numFmt w:val="decimal"/>
      <w:pStyle w:val="Heading3"/>
      <w:lvlText w:val="%1.%2.%3"/>
      <w:lvlJc w:val="left"/>
      <w:pPr>
        <w:tabs>
          <w:tab w:val="num" w:pos="1656"/>
        </w:tabs>
        <w:ind w:left="1656" w:hanging="1656"/>
      </w:pPr>
      <w:rPr>
        <w:rFonts w:cs="Times New Roman" w:hint="default"/>
      </w:rPr>
    </w:lvl>
    <w:lvl w:ilvl="3">
      <w:start w:val="1"/>
      <w:numFmt w:val="decimal"/>
      <w:pStyle w:val="Heading4"/>
      <w:lvlText w:val="%1.%2.%3.%4"/>
      <w:lvlJc w:val="left"/>
      <w:pPr>
        <w:tabs>
          <w:tab w:val="num" w:pos="1656"/>
        </w:tabs>
        <w:ind w:left="1656" w:hanging="1656"/>
      </w:pPr>
      <w:rPr>
        <w:rFonts w:cs="Times New Roman" w:hint="default"/>
      </w:rPr>
    </w:lvl>
    <w:lvl w:ilvl="4">
      <w:start w:val="1"/>
      <w:numFmt w:val="decimal"/>
      <w:pStyle w:val="Heading5"/>
      <w:lvlText w:val="%1.%2.%3.%4.%5"/>
      <w:lvlJc w:val="left"/>
      <w:pPr>
        <w:tabs>
          <w:tab w:val="num" w:pos="1656"/>
        </w:tabs>
        <w:ind w:left="1656" w:hanging="1656"/>
      </w:pPr>
      <w:rPr>
        <w:rFonts w:cs="Times New Roman" w:hint="default"/>
      </w:rPr>
    </w:lvl>
    <w:lvl w:ilvl="5">
      <w:start w:val="1"/>
      <w:numFmt w:val="decimal"/>
      <w:pStyle w:val="Heading6"/>
      <w:lvlText w:val="%1.%2.%3.%4.%5.%6"/>
      <w:lvlJc w:val="left"/>
      <w:pPr>
        <w:tabs>
          <w:tab w:val="num" w:pos="1656"/>
        </w:tabs>
        <w:ind w:left="1656" w:hanging="1656"/>
      </w:pPr>
      <w:rPr>
        <w:rFonts w:cs="Times New Roman" w:hint="default"/>
      </w:rPr>
    </w:lvl>
    <w:lvl w:ilvl="6">
      <w:start w:val="1"/>
      <w:numFmt w:val="decimal"/>
      <w:pStyle w:val="Heading7"/>
      <w:lvlText w:val="%1.%2.%3.%4.%5.%6.%7"/>
      <w:lvlJc w:val="left"/>
      <w:pPr>
        <w:tabs>
          <w:tab w:val="num" w:pos="1656"/>
        </w:tabs>
        <w:ind w:left="1656" w:hanging="1656"/>
      </w:pPr>
      <w:rPr>
        <w:rFonts w:cs="Times New Roman" w:hint="default"/>
      </w:rPr>
    </w:lvl>
    <w:lvl w:ilvl="7">
      <w:start w:val="1"/>
      <w:numFmt w:val="decimal"/>
      <w:pStyle w:val="Heading8"/>
      <w:lvlText w:val="%1.%2.%3.%4.%5.%6.%7.%8"/>
      <w:lvlJc w:val="left"/>
      <w:pPr>
        <w:tabs>
          <w:tab w:val="num" w:pos="1656"/>
        </w:tabs>
        <w:ind w:left="1656" w:hanging="1656"/>
      </w:pPr>
      <w:rPr>
        <w:rFonts w:cs="Times New Roman" w:hint="default"/>
      </w:rPr>
    </w:lvl>
    <w:lvl w:ilvl="8">
      <w:start w:val="1"/>
      <w:numFmt w:val="decimal"/>
      <w:pStyle w:val="Heading9"/>
      <w:lvlText w:val="%1.%2.%3.%4.%5.%6.%7.%8.%9"/>
      <w:lvlJc w:val="left"/>
      <w:pPr>
        <w:tabs>
          <w:tab w:val="num" w:pos="1656"/>
        </w:tabs>
        <w:ind w:left="1656" w:hanging="1656"/>
      </w:pPr>
      <w:rPr>
        <w:rFonts w:cs="Times New Roman" w:hint="default"/>
      </w:rPr>
    </w:lvl>
  </w:abstractNum>
  <w:abstractNum w:abstractNumId="2" w15:restartNumberingAfterBreak="0">
    <w:nsid w:val="47CB75AB"/>
    <w:multiLevelType w:val="multilevel"/>
    <w:tmpl w:val="F358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95520"/>
    <w:multiLevelType w:val="hybridMultilevel"/>
    <w:tmpl w:val="4FCCB294"/>
    <w:lvl w:ilvl="0" w:tplc="793A24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E57973"/>
    <w:multiLevelType w:val="hybridMultilevel"/>
    <w:tmpl w:val="84506256"/>
    <w:lvl w:ilvl="0" w:tplc="A15845B4">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43D4A"/>
    <w:multiLevelType w:val="hybridMultilevel"/>
    <w:tmpl w:val="22FA1F5A"/>
    <w:lvl w:ilvl="0" w:tplc="A15845B4">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A6BEB"/>
    <w:multiLevelType w:val="hybridMultilevel"/>
    <w:tmpl w:val="C478B55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A9"/>
    <w:rsid w:val="0003579E"/>
    <w:rsid w:val="00093702"/>
    <w:rsid w:val="000D0232"/>
    <w:rsid w:val="000F3E84"/>
    <w:rsid w:val="00115131"/>
    <w:rsid w:val="001528A0"/>
    <w:rsid w:val="001862BC"/>
    <w:rsid w:val="001B29C9"/>
    <w:rsid w:val="00216B71"/>
    <w:rsid w:val="00275773"/>
    <w:rsid w:val="002B4C74"/>
    <w:rsid w:val="002C47CC"/>
    <w:rsid w:val="00320D28"/>
    <w:rsid w:val="00382839"/>
    <w:rsid w:val="003F7809"/>
    <w:rsid w:val="00505A41"/>
    <w:rsid w:val="00525A94"/>
    <w:rsid w:val="00673555"/>
    <w:rsid w:val="006D4A76"/>
    <w:rsid w:val="007572A9"/>
    <w:rsid w:val="007B499D"/>
    <w:rsid w:val="008959B1"/>
    <w:rsid w:val="008F3BE1"/>
    <w:rsid w:val="009879C4"/>
    <w:rsid w:val="009A3258"/>
    <w:rsid w:val="009D6EF0"/>
    <w:rsid w:val="00A41603"/>
    <w:rsid w:val="00A85680"/>
    <w:rsid w:val="00AC5E32"/>
    <w:rsid w:val="00BA2029"/>
    <w:rsid w:val="00C34B02"/>
    <w:rsid w:val="00C50600"/>
    <w:rsid w:val="00C9599E"/>
    <w:rsid w:val="00D2778D"/>
    <w:rsid w:val="00DD07A0"/>
    <w:rsid w:val="00DD4046"/>
    <w:rsid w:val="00DE3D0F"/>
    <w:rsid w:val="00E53E42"/>
    <w:rsid w:val="00EF27D3"/>
    <w:rsid w:val="00FD3A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76442"/>
  <w15:chartTrackingRefBased/>
  <w15:docId w15:val="{3DDD50A7-BB9A-4C6F-83CA-49EC8546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BodyText"/>
    <w:link w:val="Heading1Char"/>
    <w:qFormat/>
    <w:rsid w:val="009879C4"/>
    <w:pPr>
      <w:keepNext/>
      <w:keepLines/>
      <w:widowControl w:val="0"/>
      <w:numPr>
        <w:numId w:val="5"/>
      </w:numPr>
      <w:tabs>
        <w:tab w:val="clear" w:pos="1656"/>
      </w:tabs>
      <w:overflowPunct w:val="0"/>
      <w:autoSpaceDE w:val="0"/>
      <w:autoSpaceDN w:val="0"/>
      <w:adjustRightInd w:val="0"/>
      <w:spacing w:before="240" w:after="120" w:line="240" w:lineRule="auto"/>
      <w:ind w:left="567" w:hanging="567"/>
      <w:textAlignment w:val="baseline"/>
      <w:outlineLvl w:val="0"/>
    </w:pPr>
    <w:rPr>
      <w:rFonts w:ascii="Calibri" w:eastAsia="Malgun Gothic" w:hAnsi="Calibri" w:cs="Times New Roman"/>
      <w:b/>
      <w:bCs/>
      <w:szCs w:val="20"/>
      <w:lang w:eastAsia="nl-NL"/>
    </w:rPr>
  </w:style>
  <w:style w:type="paragraph" w:styleId="Heading2">
    <w:name w:val="heading 2"/>
    <w:aliases w:val="H2"/>
    <w:basedOn w:val="Normal"/>
    <w:next w:val="BodyText"/>
    <w:link w:val="Heading2Char"/>
    <w:qFormat/>
    <w:rsid w:val="009879C4"/>
    <w:pPr>
      <w:numPr>
        <w:ilvl w:val="1"/>
        <w:numId w:val="5"/>
      </w:numPr>
      <w:suppressAutoHyphens/>
      <w:overflowPunct w:val="0"/>
      <w:autoSpaceDE w:val="0"/>
      <w:autoSpaceDN w:val="0"/>
      <w:adjustRightInd w:val="0"/>
      <w:spacing w:before="240" w:after="120" w:line="240" w:lineRule="auto"/>
      <w:textAlignment w:val="baseline"/>
      <w:outlineLvl w:val="1"/>
    </w:pPr>
    <w:rPr>
      <w:rFonts w:ascii="Calibri" w:eastAsia="Malgun Gothic" w:hAnsi="Calibri" w:cs="Times New Roman"/>
      <w:b/>
      <w:i/>
      <w:color w:val="000000"/>
      <w:szCs w:val="24"/>
      <w:lang w:eastAsia="en-US"/>
    </w:rPr>
  </w:style>
  <w:style w:type="paragraph" w:styleId="Heading3">
    <w:name w:val="heading 3"/>
    <w:aliases w:val="H3"/>
    <w:basedOn w:val="Normal"/>
    <w:next w:val="BodyText"/>
    <w:link w:val="Heading3Char"/>
    <w:qFormat/>
    <w:rsid w:val="009879C4"/>
    <w:pPr>
      <w:keepNext/>
      <w:keepLines/>
      <w:widowControl w:val="0"/>
      <w:numPr>
        <w:ilvl w:val="2"/>
        <w:numId w:val="5"/>
      </w:numPr>
      <w:overflowPunct w:val="0"/>
      <w:autoSpaceDE w:val="0"/>
      <w:autoSpaceDN w:val="0"/>
      <w:adjustRightInd w:val="0"/>
      <w:spacing w:before="240" w:after="120" w:line="240" w:lineRule="auto"/>
      <w:jc w:val="both"/>
      <w:textAlignment w:val="baseline"/>
      <w:outlineLvl w:val="2"/>
    </w:pPr>
    <w:rPr>
      <w:rFonts w:ascii="Calibri" w:eastAsia="Malgun Gothic" w:hAnsi="Calibri" w:cs="Times New Roman"/>
      <w:i/>
      <w:szCs w:val="20"/>
      <w:lang w:eastAsia="en-US"/>
    </w:rPr>
  </w:style>
  <w:style w:type="paragraph" w:styleId="Heading4">
    <w:name w:val="heading 4"/>
    <w:basedOn w:val="Normal"/>
    <w:next w:val="Normal"/>
    <w:link w:val="Heading4Char"/>
    <w:qFormat/>
    <w:rsid w:val="009879C4"/>
    <w:pPr>
      <w:keepNext/>
      <w:numPr>
        <w:ilvl w:val="3"/>
        <w:numId w:val="5"/>
      </w:numPr>
      <w:overflowPunct w:val="0"/>
      <w:autoSpaceDE w:val="0"/>
      <w:autoSpaceDN w:val="0"/>
      <w:adjustRightInd w:val="0"/>
      <w:spacing w:after="0" w:line="240" w:lineRule="auto"/>
      <w:jc w:val="center"/>
      <w:textAlignment w:val="baseline"/>
      <w:outlineLvl w:val="3"/>
    </w:pPr>
    <w:rPr>
      <w:rFonts w:ascii="Times New Roman" w:eastAsia="Malgun Gothic" w:hAnsi="Times New Roman" w:cs="Times New Roman"/>
      <w:b/>
      <w:sz w:val="32"/>
      <w:szCs w:val="20"/>
      <w:lang w:val="en-US" w:eastAsia="en-US"/>
    </w:rPr>
  </w:style>
  <w:style w:type="paragraph" w:styleId="Heading5">
    <w:name w:val="heading 5"/>
    <w:basedOn w:val="Normal"/>
    <w:next w:val="Normal"/>
    <w:link w:val="Heading5Char"/>
    <w:qFormat/>
    <w:rsid w:val="009879C4"/>
    <w:pPr>
      <w:keepNext/>
      <w:numPr>
        <w:ilvl w:val="4"/>
        <w:numId w:val="5"/>
      </w:numPr>
      <w:overflowPunct w:val="0"/>
      <w:autoSpaceDE w:val="0"/>
      <w:autoSpaceDN w:val="0"/>
      <w:adjustRightInd w:val="0"/>
      <w:spacing w:after="0" w:line="240" w:lineRule="auto"/>
      <w:ind w:right="1417"/>
      <w:jc w:val="both"/>
      <w:textAlignment w:val="baseline"/>
      <w:outlineLvl w:val="4"/>
    </w:pPr>
    <w:rPr>
      <w:rFonts w:ascii="Times New Roman" w:eastAsia="Malgun Gothic" w:hAnsi="Times New Roman" w:cs="Times New Roman"/>
      <w:b/>
      <w:sz w:val="28"/>
      <w:szCs w:val="20"/>
      <w:lang w:val="en-US" w:eastAsia="en-US"/>
    </w:rPr>
  </w:style>
  <w:style w:type="paragraph" w:styleId="Heading6">
    <w:name w:val="heading 6"/>
    <w:basedOn w:val="Normal"/>
    <w:next w:val="Normal"/>
    <w:link w:val="Heading6Char"/>
    <w:qFormat/>
    <w:rsid w:val="009879C4"/>
    <w:pPr>
      <w:keepNext/>
      <w:numPr>
        <w:ilvl w:val="5"/>
        <w:numId w:val="5"/>
      </w:numPr>
      <w:overflowPunct w:val="0"/>
      <w:autoSpaceDE w:val="0"/>
      <w:autoSpaceDN w:val="0"/>
      <w:adjustRightInd w:val="0"/>
      <w:spacing w:after="0" w:line="240" w:lineRule="auto"/>
      <w:ind w:right="283"/>
      <w:jc w:val="center"/>
      <w:textAlignment w:val="baseline"/>
      <w:outlineLvl w:val="5"/>
    </w:pPr>
    <w:rPr>
      <w:rFonts w:ascii="Times New Roman" w:eastAsia="Malgun Gothic" w:hAnsi="Times New Roman" w:cs="Times New Roman"/>
      <w:i/>
      <w:sz w:val="18"/>
      <w:szCs w:val="20"/>
      <w:lang w:val="en-US" w:eastAsia="en-US"/>
    </w:rPr>
  </w:style>
  <w:style w:type="paragraph" w:styleId="Heading7">
    <w:name w:val="heading 7"/>
    <w:basedOn w:val="Normal"/>
    <w:next w:val="Normal"/>
    <w:link w:val="Heading7Char"/>
    <w:qFormat/>
    <w:rsid w:val="009879C4"/>
    <w:pPr>
      <w:keepNext/>
      <w:numPr>
        <w:ilvl w:val="6"/>
        <w:numId w:val="5"/>
      </w:numPr>
      <w:overflowPunct w:val="0"/>
      <w:autoSpaceDE w:val="0"/>
      <w:autoSpaceDN w:val="0"/>
      <w:adjustRightInd w:val="0"/>
      <w:spacing w:after="0" w:line="240" w:lineRule="auto"/>
      <w:jc w:val="center"/>
      <w:textAlignment w:val="baseline"/>
      <w:outlineLvl w:val="6"/>
    </w:pPr>
    <w:rPr>
      <w:rFonts w:ascii="Times New Roman" w:eastAsia="Malgun Gothic" w:hAnsi="Times New Roman" w:cs="Times New Roman"/>
      <w:b/>
      <w:sz w:val="18"/>
      <w:szCs w:val="20"/>
      <w:lang w:val="en-US" w:eastAsia="en-US"/>
    </w:rPr>
  </w:style>
  <w:style w:type="paragraph" w:styleId="Heading8">
    <w:name w:val="heading 8"/>
    <w:basedOn w:val="Normal"/>
    <w:next w:val="Normal"/>
    <w:link w:val="Heading8Char"/>
    <w:qFormat/>
    <w:rsid w:val="009879C4"/>
    <w:pPr>
      <w:numPr>
        <w:ilvl w:val="7"/>
        <w:numId w:val="5"/>
      </w:numPr>
      <w:overflowPunct w:val="0"/>
      <w:autoSpaceDE w:val="0"/>
      <w:autoSpaceDN w:val="0"/>
      <w:adjustRightInd w:val="0"/>
      <w:spacing w:before="240" w:after="60" w:line="240" w:lineRule="auto"/>
      <w:jc w:val="both"/>
      <w:textAlignment w:val="baseline"/>
      <w:outlineLvl w:val="7"/>
    </w:pPr>
    <w:rPr>
      <w:rFonts w:ascii="Times New Roman" w:eastAsia="Malgun Gothic" w:hAnsi="Times New Roman" w:cs="Times New Roman"/>
      <w:i/>
      <w:iCs/>
      <w:sz w:val="18"/>
      <w:szCs w:val="24"/>
      <w:lang w:val="en-US" w:eastAsia="en-US"/>
    </w:rPr>
  </w:style>
  <w:style w:type="paragraph" w:styleId="Heading9">
    <w:name w:val="heading 9"/>
    <w:basedOn w:val="Normal"/>
    <w:next w:val="Normal"/>
    <w:link w:val="Heading9Char"/>
    <w:qFormat/>
    <w:rsid w:val="009879C4"/>
    <w:pPr>
      <w:numPr>
        <w:ilvl w:val="8"/>
        <w:numId w:val="5"/>
      </w:numPr>
      <w:overflowPunct w:val="0"/>
      <w:autoSpaceDE w:val="0"/>
      <w:autoSpaceDN w:val="0"/>
      <w:adjustRightInd w:val="0"/>
      <w:spacing w:before="240" w:after="60" w:line="240" w:lineRule="auto"/>
      <w:jc w:val="both"/>
      <w:textAlignment w:val="baseline"/>
      <w:outlineLvl w:val="8"/>
    </w:pPr>
    <w:rPr>
      <w:rFonts w:ascii="Arial" w:eastAsia="Malgun Gothic" w:hAnsi="Arial"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2A9"/>
    <w:pPr>
      <w:spacing w:after="160" w:line="259" w:lineRule="auto"/>
      <w:ind w:left="720"/>
      <w:contextualSpacing/>
    </w:pPr>
    <w:rPr>
      <w:rFonts w:eastAsiaTheme="minorHAnsi"/>
      <w:lang w:eastAsia="en-US"/>
    </w:rPr>
  </w:style>
  <w:style w:type="paragraph" w:styleId="Header">
    <w:name w:val="header"/>
    <w:basedOn w:val="Normal"/>
    <w:link w:val="HeaderChar"/>
    <w:uiPriority w:val="99"/>
    <w:unhideWhenUsed/>
    <w:rsid w:val="000F3E84"/>
    <w:pPr>
      <w:tabs>
        <w:tab w:val="center" w:pos="4819"/>
        <w:tab w:val="right" w:pos="9638"/>
      </w:tabs>
      <w:spacing w:after="0" w:line="240" w:lineRule="auto"/>
    </w:pPr>
  </w:style>
  <w:style w:type="character" w:customStyle="1" w:styleId="HeaderChar">
    <w:name w:val="Header Char"/>
    <w:basedOn w:val="DefaultParagraphFont"/>
    <w:link w:val="Header"/>
    <w:uiPriority w:val="99"/>
    <w:rsid w:val="000F3E84"/>
  </w:style>
  <w:style w:type="paragraph" w:styleId="Footer">
    <w:name w:val="footer"/>
    <w:basedOn w:val="Normal"/>
    <w:link w:val="FooterChar"/>
    <w:uiPriority w:val="99"/>
    <w:unhideWhenUsed/>
    <w:rsid w:val="000F3E84"/>
    <w:pPr>
      <w:tabs>
        <w:tab w:val="center" w:pos="4819"/>
        <w:tab w:val="right" w:pos="9638"/>
      </w:tabs>
      <w:spacing w:after="0" w:line="240" w:lineRule="auto"/>
    </w:pPr>
  </w:style>
  <w:style w:type="character" w:customStyle="1" w:styleId="FooterChar">
    <w:name w:val="Footer Char"/>
    <w:basedOn w:val="DefaultParagraphFont"/>
    <w:link w:val="Footer"/>
    <w:uiPriority w:val="99"/>
    <w:rsid w:val="000F3E84"/>
  </w:style>
  <w:style w:type="table" w:styleId="TableGrid">
    <w:name w:val="Table Grid"/>
    <w:basedOn w:val="TableNormal"/>
    <w:uiPriority w:val="59"/>
    <w:rsid w:val="000F3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Link"/>
    <w:rsid w:val="009879C4"/>
    <w:rPr>
      <w:rFonts w:cs="Times New Roman"/>
      <w:color w:val="808080"/>
      <w:u w:val="none"/>
      <w:effect w:val="none"/>
    </w:rPr>
  </w:style>
  <w:style w:type="paragraph" w:styleId="FootnoteText">
    <w:name w:val="footnote text"/>
    <w:aliases w:val="footnote (text),FN,Geneva 9,Font: Geneva 9,Boston 10,f,Footnote Text Char Char Char Char Char,Footnote Text Char Char Char Char Char Char,ft,(NECG) Footnote Text Char Char Char,fn"/>
    <w:basedOn w:val="Normal"/>
    <w:link w:val="FootnoteTextChar"/>
    <w:rsid w:val="009879C4"/>
    <w:pPr>
      <w:widowControl w:val="0"/>
      <w:autoSpaceDE w:val="0"/>
      <w:autoSpaceDN w:val="0"/>
      <w:adjustRightInd w:val="0"/>
      <w:spacing w:after="0" w:line="240" w:lineRule="auto"/>
      <w:ind w:right="-433"/>
    </w:pPr>
    <w:rPr>
      <w:rFonts w:ascii="Calibri" w:eastAsia="SimSun" w:hAnsi="Calibri" w:cs="Times New Roman"/>
      <w:sz w:val="20"/>
      <w:szCs w:val="20"/>
      <w:lang w:val="en-US" w:eastAsia="en-US"/>
    </w:rPr>
  </w:style>
  <w:style w:type="character" w:customStyle="1" w:styleId="FootnoteTextChar">
    <w:name w:val="Footnote Text Char"/>
    <w:aliases w:val="footnote (text) Char,FN Char,Geneva 9 Char,Font: Geneva 9 Char,Boston 10 Char,f Char,Footnote Text Char Char Char Char Char Char1,Footnote Text Char Char Char Char Char Char Char,ft Char,(NECG) Footnote Text Char Char Char Char"/>
    <w:basedOn w:val="DefaultParagraphFont"/>
    <w:link w:val="FootnoteText"/>
    <w:rsid w:val="009879C4"/>
    <w:rPr>
      <w:rFonts w:ascii="Calibri" w:eastAsia="SimSun" w:hAnsi="Calibri" w:cs="Times New Roman"/>
      <w:sz w:val="20"/>
      <w:szCs w:val="20"/>
      <w:lang w:val="en-US" w:eastAsia="en-US"/>
    </w:rPr>
  </w:style>
  <w:style w:type="character" w:styleId="FootnoteReference">
    <w:name w:val="footnote reference"/>
    <w:aliases w:val="Rimando nota a piè di pagina/ footnote (number)"/>
    <w:rsid w:val="009879C4"/>
    <w:rPr>
      <w:rFonts w:ascii="Calibri" w:hAnsi="Calibri" w:cs="Times New Roman"/>
      <w:sz w:val="22"/>
      <w:szCs w:val="22"/>
      <w:vertAlign w:val="superscript"/>
    </w:rPr>
  </w:style>
  <w:style w:type="paragraph" w:styleId="BodyText">
    <w:name w:val="Body Text"/>
    <w:aliases w:val="Text 1"/>
    <w:basedOn w:val="Normal"/>
    <w:link w:val="BodyTextChar"/>
    <w:rsid w:val="009879C4"/>
    <w:pPr>
      <w:spacing w:after="0" w:line="240" w:lineRule="auto"/>
    </w:pPr>
    <w:rPr>
      <w:rFonts w:ascii="Calibri" w:eastAsia="Malgun Gothic" w:hAnsi="Calibri" w:cs="Times New Roman"/>
      <w:lang w:eastAsia="en-US"/>
    </w:rPr>
  </w:style>
  <w:style w:type="character" w:customStyle="1" w:styleId="BodyTextChar">
    <w:name w:val="Body Text Char"/>
    <w:aliases w:val="Text 1 Char"/>
    <w:basedOn w:val="DefaultParagraphFont"/>
    <w:link w:val="BodyText"/>
    <w:rsid w:val="009879C4"/>
    <w:rPr>
      <w:rFonts w:ascii="Calibri" w:eastAsia="Malgun Gothic" w:hAnsi="Calibri" w:cs="Times New Roman"/>
      <w:lang w:eastAsia="en-US"/>
    </w:rPr>
  </w:style>
  <w:style w:type="character" w:customStyle="1" w:styleId="Heading1Char">
    <w:name w:val="Heading 1 Char"/>
    <w:aliases w:val="H1 Char"/>
    <w:basedOn w:val="DefaultParagraphFont"/>
    <w:link w:val="Heading1"/>
    <w:rsid w:val="009879C4"/>
    <w:rPr>
      <w:rFonts w:ascii="Calibri" w:eastAsia="Malgun Gothic" w:hAnsi="Calibri" w:cs="Times New Roman"/>
      <w:b/>
      <w:bCs/>
      <w:szCs w:val="20"/>
      <w:lang w:eastAsia="nl-NL"/>
    </w:rPr>
  </w:style>
  <w:style w:type="character" w:customStyle="1" w:styleId="Heading2Char">
    <w:name w:val="Heading 2 Char"/>
    <w:aliases w:val="H2 Char"/>
    <w:basedOn w:val="DefaultParagraphFont"/>
    <w:link w:val="Heading2"/>
    <w:rsid w:val="009879C4"/>
    <w:rPr>
      <w:rFonts w:ascii="Calibri" w:eastAsia="Malgun Gothic" w:hAnsi="Calibri" w:cs="Times New Roman"/>
      <w:b/>
      <w:i/>
      <w:color w:val="000000"/>
      <w:szCs w:val="24"/>
      <w:lang w:eastAsia="en-US"/>
    </w:rPr>
  </w:style>
  <w:style w:type="character" w:customStyle="1" w:styleId="Heading3Char">
    <w:name w:val="Heading 3 Char"/>
    <w:aliases w:val="H3 Char"/>
    <w:basedOn w:val="DefaultParagraphFont"/>
    <w:link w:val="Heading3"/>
    <w:rsid w:val="009879C4"/>
    <w:rPr>
      <w:rFonts w:ascii="Calibri" w:eastAsia="Malgun Gothic" w:hAnsi="Calibri" w:cs="Times New Roman"/>
      <w:i/>
      <w:szCs w:val="20"/>
      <w:lang w:eastAsia="en-US"/>
    </w:rPr>
  </w:style>
  <w:style w:type="character" w:customStyle="1" w:styleId="Heading4Char">
    <w:name w:val="Heading 4 Char"/>
    <w:basedOn w:val="DefaultParagraphFont"/>
    <w:link w:val="Heading4"/>
    <w:rsid w:val="009879C4"/>
    <w:rPr>
      <w:rFonts w:ascii="Times New Roman" w:eastAsia="Malgun Gothic" w:hAnsi="Times New Roman" w:cs="Times New Roman"/>
      <w:b/>
      <w:sz w:val="32"/>
      <w:szCs w:val="20"/>
      <w:lang w:val="en-US" w:eastAsia="en-US"/>
    </w:rPr>
  </w:style>
  <w:style w:type="character" w:customStyle="1" w:styleId="Heading5Char">
    <w:name w:val="Heading 5 Char"/>
    <w:basedOn w:val="DefaultParagraphFont"/>
    <w:link w:val="Heading5"/>
    <w:rsid w:val="009879C4"/>
    <w:rPr>
      <w:rFonts w:ascii="Times New Roman" w:eastAsia="Malgun Gothic" w:hAnsi="Times New Roman" w:cs="Times New Roman"/>
      <w:b/>
      <w:sz w:val="28"/>
      <w:szCs w:val="20"/>
      <w:lang w:val="en-US" w:eastAsia="en-US"/>
    </w:rPr>
  </w:style>
  <w:style w:type="character" w:customStyle="1" w:styleId="Heading6Char">
    <w:name w:val="Heading 6 Char"/>
    <w:basedOn w:val="DefaultParagraphFont"/>
    <w:link w:val="Heading6"/>
    <w:rsid w:val="009879C4"/>
    <w:rPr>
      <w:rFonts w:ascii="Times New Roman" w:eastAsia="Malgun Gothic" w:hAnsi="Times New Roman" w:cs="Times New Roman"/>
      <w:i/>
      <w:sz w:val="18"/>
      <w:szCs w:val="20"/>
      <w:lang w:val="en-US" w:eastAsia="en-US"/>
    </w:rPr>
  </w:style>
  <w:style w:type="character" w:customStyle="1" w:styleId="Heading7Char">
    <w:name w:val="Heading 7 Char"/>
    <w:basedOn w:val="DefaultParagraphFont"/>
    <w:link w:val="Heading7"/>
    <w:rsid w:val="009879C4"/>
    <w:rPr>
      <w:rFonts w:ascii="Times New Roman" w:eastAsia="Malgun Gothic" w:hAnsi="Times New Roman" w:cs="Times New Roman"/>
      <w:b/>
      <w:sz w:val="18"/>
      <w:szCs w:val="20"/>
      <w:lang w:val="en-US" w:eastAsia="en-US"/>
    </w:rPr>
  </w:style>
  <w:style w:type="character" w:customStyle="1" w:styleId="Heading8Char">
    <w:name w:val="Heading 8 Char"/>
    <w:basedOn w:val="DefaultParagraphFont"/>
    <w:link w:val="Heading8"/>
    <w:rsid w:val="009879C4"/>
    <w:rPr>
      <w:rFonts w:ascii="Times New Roman" w:eastAsia="Malgun Gothic" w:hAnsi="Times New Roman" w:cs="Times New Roman"/>
      <w:i/>
      <w:iCs/>
      <w:sz w:val="18"/>
      <w:szCs w:val="24"/>
      <w:lang w:val="en-US" w:eastAsia="en-US"/>
    </w:rPr>
  </w:style>
  <w:style w:type="character" w:customStyle="1" w:styleId="Heading9Char">
    <w:name w:val="Heading 9 Char"/>
    <w:basedOn w:val="DefaultParagraphFont"/>
    <w:link w:val="Heading9"/>
    <w:rsid w:val="009879C4"/>
    <w:rPr>
      <w:rFonts w:ascii="Arial" w:eastAsia="Malgun Gothic" w:hAnsi="Arial" w:cs="Times New Roman"/>
      <w:lang w:val="en-US" w:eastAsia="en-US"/>
    </w:rPr>
  </w:style>
  <w:style w:type="paragraph" w:styleId="NormalWeb">
    <w:name w:val="Normal (Web)"/>
    <w:basedOn w:val="Normal"/>
    <w:uiPriority w:val="99"/>
    <w:unhideWhenUsed/>
    <w:rsid w:val="00320D2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320D28"/>
    <w:rPr>
      <w:b/>
      <w:bCs/>
    </w:rPr>
  </w:style>
  <w:style w:type="paragraph" w:customStyle="1" w:styleId="ListParagraph1">
    <w:name w:val="List Paragraph1"/>
    <w:aliases w:val="References,Elenchi Puntati per bibliografia"/>
    <w:link w:val="ListParagraphReferencesElenchiPuntatiperbibliografiaCarattereCarattere"/>
    <w:rsid w:val="00C34B02"/>
    <w:pPr>
      <w:numPr>
        <w:numId w:val="7"/>
      </w:numPr>
      <w:spacing w:after="0" w:line="240" w:lineRule="auto"/>
      <w:jc w:val="both"/>
    </w:pPr>
    <w:rPr>
      <w:rFonts w:ascii="Calibri" w:eastAsia="SimSun" w:hAnsi="Calibri" w:cs="Times New Roman"/>
      <w:color w:val="000000"/>
      <w:sz w:val="20"/>
      <w:shd w:val="clear" w:color="auto" w:fill="FFFFFF"/>
      <w:lang w:eastAsia="en-US"/>
    </w:rPr>
  </w:style>
  <w:style w:type="character" w:customStyle="1" w:styleId="ListParagraphReferencesElenchiPuntatiperbibliografiaCarattereCarattere">
    <w:name w:val="List Paragraph.References.Elenchi Puntati per bibliografia Carattere Carattere"/>
    <w:link w:val="ListParagraph1"/>
    <w:locked/>
    <w:rsid w:val="00C34B02"/>
    <w:rPr>
      <w:rFonts w:ascii="Calibri" w:eastAsia="SimSun" w:hAnsi="Calibri" w:cs="Times New Roman"/>
      <w:color w:val="000000"/>
      <w:sz w:val="20"/>
      <w:lang w:eastAsia="en-US"/>
    </w:rPr>
  </w:style>
  <w:style w:type="character" w:styleId="CommentReference">
    <w:name w:val="annotation reference"/>
    <w:basedOn w:val="DefaultParagraphFont"/>
    <w:uiPriority w:val="99"/>
    <w:semiHidden/>
    <w:unhideWhenUsed/>
    <w:rsid w:val="00DE3D0F"/>
    <w:rPr>
      <w:sz w:val="16"/>
      <w:szCs w:val="16"/>
    </w:rPr>
  </w:style>
  <w:style w:type="paragraph" w:styleId="CommentText">
    <w:name w:val="annotation text"/>
    <w:basedOn w:val="Normal"/>
    <w:link w:val="CommentTextChar"/>
    <w:uiPriority w:val="99"/>
    <w:semiHidden/>
    <w:unhideWhenUsed/>
    <w:rsid w:val="00DE3D0F"/>
    <w:pPr>
      <w:spacing w:line="240" w:lineRule="auto"/>
    </w:pPr>
    <w:rPr>
      <w:sz w:val="20"/>
      <w:szCs w:val="20"/>
    </w:rPr>
  </w:style>
  <w:style w:type="character" w:customStyle="1" w:styleId="CommentTextChar">
    <w:name w:val="Comment Text Char"/>
    <w:basedOn w:val="DefaultParagraphFont"/>
    <w:link w:val="CommentText"/>
    <w:uiPriority w:val="99"/>
    <w:semiHidden/>
    <w:rsid w:val="00DE3D0F"/>
    <w:rPr>
      <w:sz w:val="20"/>
      <w:szCs w:val="20"/>
    </w:rPr>
  </w:style>
  <w:style w:type="paragraph" w:styleId="CommentSubject">
    <w:name w:val="annotation subject"/>
    <w:basedOn w:val="CommentText"/>
    <w:next w:val="CommentText"/>
    <w:link w:val="CommentSubjectChar"/>
    <w:uiPriority w:val="99"/>
    <w:semiHidden/>
    <w:unhideWhenUsed/>
    <w:rsid w:val="00DE3D0F"/>
    <w:rPr>
      <w:b/>
      <w:bCs/>
    </w:rPr>
  </w:style>
  <w:style w:type="character" w:customStyle="1" w:styleId="CommentSubjectChar">
    <w:name w:val="Comment Subject Char"/>
    <w:basedOn w:val="CommentTextChar"/>
    <w:link w:val="CommentSubject"/>
    <w:uiPriority w:val="99"/>
    <w:semiHidden/>
    <w:rsid w:val="00DE3D0F"/>
    <w:rPr>
      <w:b/>
      <w:bCs/>
      <w:sz w:val="20"/>
      <w:szCs w:val="20"/>
    </w:rPr>
  </w:style>
  <w:style w:type="paragraph" w:styleId="BalloonText">
    <w:name w:val="Balloon Text"/>
    <w:basedOn w:val="Normal"/>
    <w:link w:val="BalloonTextChar"/>
    <w:uiPriority w:val="99"/>
    <w:semiHidden/>
    <w:unhideWhenUsed/>
    <w:rsid w:val="00DE3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099887">
      <w:bodyDiv w:val="1"/>
      <w:marLeft w:val="0"/>
      <w:marRight w:val="0"/>
      <w:marTop w:val="0"/>
      <w:marBottom w:val="0"/>
      <w:divBdr>
        <w:top w:val="none" w:sz="0" w:space="0" w:color="auto"/>
        <w:left w:val="none" w:sz="0" w:space="0" w:color="auto"/>
        <w:bottom w:val="none" w:sz="0" w:space="0" w:color="auto"/>
        <w:right w:val="none" w:sz="0" w:space="0" w:color="auto"/>
      </w:divBdr>
    </w:div>
    <w:div w:id="1591573487">
      <w:bodyDiv w:val="1"/>
      <w:marLeft w:val="0"/>
      <w:marRight w:val="0"/>
      <w:marTop w:val="0"/>
      <w:marBottom w:val="0"/>
      <w:divBdr>
        <w:top w:val="none" w:sz="0" w:space="0" w:color="auto"/>
        <w:left w:val="none" w:sz="0" w:space="0" w:color="auto"/>
        <w:bottom w:val="none" w:sz="0" w:space="0" w:color="auto"/>
        <w:right w:val="none" w:sz="0" w:space="0" w:color="auto"/>
      </w:divBdr>
      <w:divsChild>
        <w:div w:id="7555156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ityregionfoodsystem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CE4A6-FC60-4AEF-8FAF-D6637EE6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Blanck, Max (ESA)</dc:creator>
  <cp:keywords/>
  <dc:description/>
  <cp:lastModifiedBy>Lancon, Louison (AGPM)</cp:lastModifiedBy>
  <cp:revision>3</cp:revision>
  <dcterms:created xsi:type="dcterms:W3CDTF">2017-03-15T12:05:00Z</dcterms:created>
  <dcterms:modified xsi:type="dcterms:W3CDTF">2017-03-15T12:54:00Z</dcterms:modified>
</cp:coreProperties>
</file>