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D9FEE" w14:textId="77777777" w:rsidR="00651FFD" w:rsidRDefault="00651FFD" w:rsidP="00242BC8">
      <w:pPr>
        <w:pStyle w:val="Heading2"/>
      </w:pPr>
      <w:r w:rsidRPr="00651FFD">
        <w:t xml:space="preserve">Addressing water scarcity in agriculture: </w:t>
      </w:r>
    </w:p>
    <w:p w14:paraId="779ECE33" w14:textId="1C5D3672" w:rsidR="00E21809" w:rsidRDefault="00651FFD" w:rsidP="00242BC8">
      <w:pPr>
        <w:pStyle w:val="Heading2"/>
      </w:pPr>
      <w:r w:rsidRPr="00651FFD">
        <w:t>how can indigenous or traditional practices help?</w:t>
      </w:r>
      <w:r>
        <w:t xml:space="preserve"> </w:t>
      </w:r>
    </w:p>
    <w:p w14:paraId="71F4468A" w14:textId="069542BA" w:rsidR="00E21809" w:rsidRDefault="00E21809" w:rsidP="00F37A93">
      <w:pPr>
        <w:pStyle w:val="PlainText"/>
        <w:rPr>
          <w:rFonts w:ascii="Times New Roman" w:hAnsi="Times New Roman"/>
          <w:color w:val="000000" w:themeColor="text1"/>
          <w:szCs w:val="24"/>
          <w:u w:val="single"/>
          <w:lang w:val="en-GB"/>
        </w:rPr>
      </w:pPr>
    </w:p>
    <w:p w14:paraId="6E46A8F5" w14:textId="77777777" w:rsidR="00341221" w:rsidRPr="00341221" w:rsidRDefault="00341221" w:rsidP="00B04E71">
      <w:pPr>
        <w:autoSpaceDE w:val="0"/>
        <w:autoSpaceDN w:val="0"/>
        <w:adjustRightInd w:val="0"/>
        <w:spacing w:after="159"/>
        <w:rPr>
          <w:rFonts w:asciiTheme="majorHAnsi" w:eastAsiaTheme="minorHAnsi" w:hAnsiTheme="majorHAnsi" w:cs="Consolas"/>
          <w:b/>
          <w:color w:val="000000" w:themeColor="text1"/>
          <w:sz w:val="22"/>
          <w:lang w:val="en-GB"/>
        </w:rPr>
      </w:pPr>
      <w:r w:rsidRPr="00341221">
        <w:rPr>
          <w:rFonts w:asciiTheme="majorHAnsi" w:eastAsiaTheme="minorHAnsi" w:hAnsiTheme="majorHAnsi" w:cs="Consolas"/>
          <w:color w:val="000000" w:themeColor="text1"/>
          <w:sz w:val="22"/>
          <w:lang w:val="en-GB"/>
        </w:rPr>
        <w:t xml:space="preserve">The world’s population is growing, with the need to produce more food. This challenge exacerbates water scarcity, which is further compounded by a changing climate. To cope with the challenge, </w:t>
      </w:r>
      <w:r w:rsidRPr="00341221">
        <w:rPr>
          <w:rFonts w:asciiTheme="majorHAnsi" w:eastAsiaTheme="minorHAnsi" w:hAnsiTheme="majorHAnsi" w:cs="Consolas"/>
          <w:b/>
          <w:color w:val="000000" w:themeColor="text1"/>
          <w:sz w:val="22"/>
          <w:lang w:val="en-GB"/>
        </w:rPr>
        <w:t>could indigenous or traditional practices support climate change adaptation efforts on reducing water scarcity in agriculture?</w:t>
      </w:r>
    </w:p>
    <w:p w14:paraId="27CCC0EE" w14:textId="77777777" w:rsidR="00341221" w:rsidRPr="00341221" w:rsidRDefault="00341221" w:rsidP="00B04E71">
      <w:pPr>
        <w:autoSpaceDE w:val="0"/>
        <w:autoSpaceDN w:val="0"/>
        <w:adjustRightInd w:val="0"/>
        <w:spacing w:after="159"/>
        <w:rPr>
          <w:rFonts w:asciiTheme="majorHAnsi" w:eastAsiaTheme="minorHAnsi" w:hAnsiTheme="majorHAnsi" w:cs="Consolas"/>
          <w:b/>
          <w:color w:val="000000" w:themeColor="text1"/>
          <w:sz w:val="22"/>
          <w:lang w:val="en-GB"/>
        </w:rPr>
      </w:pPr>
      <w:r w:rsidRPr="00341221">
        <w:rPr>
          <w:rFonts w:asciiTheme="majorHAnsi" w:eastAsiaTheme="minorHAnsi" w:hAnsiTheme="majorHAnsi" w:cs="Consolas"/>
          <w:color w:val="000000" w:themeColor="text1"/>
          <w:sz w:val="22"/>
          <w:lang w:val="en-GB"/>
        </w:rPr>
        <w:t xml:space="preserve">To address this question, a first step consisted in reviewing traditional/indigenous practices used by rural communities as coping strategies for climate change adaptation in agriculture. An agro-ecology grouping was used, seeking to highlight the potential of transferring practices between areas of similar agro-ecology. </w:t>
      </w:r>
      <w:r w:rsidRPr="00341221">
        <w:rPr>
          <w:rFonts w:asciiTheme="majorHAnsi" w:eastAsiaTheme="minorHAnsi" w:hAnsiTheme="majorHAnsi" w:cs="Consolas"/>
          <w:b/>
          <w:color w:val="000000" w:themeColor="text1"/>
          <w:sz w:val="22"/>
          <w:lang w:val="en-GB"/>
        </w:rPr>
        <w:t>A compendium of such practices was thus compiled and is available for reference.</w:t>
      </w:r>
    </w:p>
    <w:p w14:paraId="75124319" w14:textId="77777777" w:rsidR="00341221" w:rsidRPr="00341221" w:rsidRDefault="00341221" w:rsidP="00B04E71">
      <w:pPr>
        <w:autoSpaceDE w:val="0"/>
        <w:autoSpaceDN w:val="0"/>
        <w:adjustRightInd w:val="0"/>
        <w:spacing w:after="159"/>
        <w:rPr>
          <w:rFonts w:asciiTheme="majorHAnsi" w:eastAsiaTheme="minorHAnsi" w:hAnsiTheme="majorHAnsi" w:cs="Consolas"/>
          <w:color w:val="000000" w:themeColor="text1"/>
          <w:sz w:val="22"/>
          <w:lang w:val="en-GB"/>
        </w:rPr>
      </w:pPr>
      <w:r w:rsidRPr="00341221">
        <w:rPr>
          <w:rFonts w:asciiTheme="majorHAnsi" w:eastAsiaTheme="minorHAnsi" w:hAnsiTheme="majorHAnsi" w:cs="Consolas"/>
          <w:color w:val="000000" w:themeColor="text1"/>
          <w:sz w:val="22"/>
          <w:lang w:val="en-GB"/>
        </w:rPr>
        <w:t>The need to mainstream indigenous knowledge and traditional practices into sustainable development has also been well acknowledged, including through the 1989 Indigenous and Tribal Peoples Convention, the 2007 United Nations Declaration on the Rights of Indigenous Peoples and the 2015 Paris Agreement on Climate change.</w:t>
      </w:r>
    </w:p>
    <w:p w14:paraId="58A511B6" w14:textId="77777777" w:rsidR="00341221" w:rsidRPr="00341221" w:rsidRDefault="00341221" w:rsidP="00B04E71">
      <w:pPr>
        <w:autoSpaceDE w:val="0"/>
        <w:autoSpaceDN w:val="0"/>
        <w:adjustRightInd w:val="0"/>
        <w:spacing w:after="159"/>
        <w:rPr>
          <w:rFonts w:asciiTheme="majorHAnsi" w:eastAsiaTheme="minorHAnsi" w:hAnsiTheme="majorHAnsi" w:cs="Consolas"/>
          <w:color w:val="000000" w:themeColor="text1"/>
          <w:sz w:val="22"/>
          <w:lang w:val="en-GB"/>
        </w:rPr>
      </w:pPr>
      <w:r w:rsidRPr="00341221">
        <w:rPr>
          <w:rFonts w:asciiTheme="majorHAnsi" w:eastAsiaTheme="minorHAnsi" w:hAnsiTheme="majorHAnsi" w:cs="Consolas"/>
          <w:color w:val="000000" w:themeColor="text1"/>
          <w:sz w:val="22"/>
          <w:lang w:val="en-GB"/>
        </w:rPr>
        <w:t xml:space="preserve">However, evidence of successful use and transfer of indigenous practices to cope with water scarcity in agriculture remains scattered. This discussion is an opportunity to </w:t>
      </w:r>
      <w:r w:rsidRPr="00341221">
        <w:rPr>
          <w:rFonts w:asciiTheme="majorHAnsi" w:eastAsiaTheme="minorHAnsi" w:hAnsiTheme="majorHAnsi" w:cs="Consolas"/>
          <w:b/>
          <w:color w:val="000000" w:themeColor="text1"/>
          <w:sz w:val="22"/>
          <w:lang w:val="en-GB"/>
        </w:rPr>
        <w:t>systematically identify practices that have demonstrated their effectiveness</w:t>
      </w:r>
      <w:r w:rsidRPr="00341221">
        <w:rPr>
          <w:rFonts w:asciiTheme="majorHAnsi" w:eastAsiaTheme="minorHAnsi" w:hAnsiTheme="majorHAnsi" w:cs="Consolas"/>
          <w:color w:val="000000" w:themeColor="text1"/>
          <w:sz w:val="22"/>
          <w:lang w:val="en-GB"/>
        </w:rPr>
        <w:t xml:space="preserve"> in supporting the livelihoods of the communities and to classify them in such a way that they can be upscaled or replicated elsewhere. This is especially crucial for areas with similar agro-ecological characteristics. </w:t>
      </w:r>
      <w:r w:rsidRPr="00341221">
        <w:rPr>
          <w:rFonts w:asciiTheme="majorHAnsi" w:eastAsiaTheme="minorHAnsi" w:hAnsiTheme="majorHAnsi" w:cs="Consolas"/>
          <w:b/>
          <w:color w:val="000000" w:themeColor="text1"/>
          <w:sz w:val="22"/>
          <w:lang w:val="en-GB"/>
        </w:rPr>
        <w:t>It is expected that some of these practices will then support projects aimed at addressing water scarcity in agriculture, with an objective roadmap comprising recommended practices/ technologies and the required supporting policies, as relevant</w:t>
      </w:r>
      <w:r w:rsidRPr="00341221">
        <w:rPr>
          <w:rFonts w:asciiTheme="majorHAnsi" w:eastAsiaTheme="minorHAnsi" w:hAnsiTheme="majorHAnsi" w:cs="Consolas"/>
          <w:color w:val="000000" w:themeColor="text1"/>
          <w:sz w:val="22"/>
          <w:lang w:val="en-GB"/>
        </w:rPr>
        <w:t>.</w:t>
      </w:r>
    </w:p>
    <w:p w14:paraId="1B947B4E" w14:textId="2A4B2133" w:rsidR="00B04E71" w:rsidRPr="00341221" w:rsidRDefault="00341221" w:rsidP="00B04E71">
      <w:pPr>
        <w:autoSpaceDE w:val="0"/>
        <w:autoSpaceDN w:val="0"/>
        <w:adjustRightInd w:val="0"/>
        <w:spacing w:after="159"/>
        <w:rPr>
          <w:rFonts w:asciiTheme="majorHAnsi" w:eastAsiaTheme="minorHAnsi" w:hAnsiTheme="majorHAnsi" w:cs="Consolas"/>
          <w:color w:val="000000" w:themeColor="text1"/>
          <w:sz w:val="22"/>
          <w:lang w:val="en-GB"/>
        </w:rPr>
      </w:pPr>
      <w:r w:rsidRPr="00341221">
        <w:rPr>
          <w:rFonts w:asciiTheme="majorHAnsi" w:eastAsiaTheme="minorHAnsi" w:hAnsiTheme="majorHAnsi" w:cs="Consolas"/>
          <w:color w:val="000000" w:themeColor="text1"/>
          <w:sz w:val="22"/>
          <w:lang w:val="en-GB"/>
        </w:rPr>
        <w:t>Furthermore, different opinions are still being voiced on semantics (e.g. indigenous knowledge, traditional knowledge, knowledge of indigenous peoples, community knowledge or local knowledge systems…). This discussion will also seek to reach some consensus on the most appropriate terminology to be used in the final version of the compendium.</w:t>
      </w:r>
    </w:p>
    <w:p w14:paraId="03868952" w14:textId="77777777" w:rsidR="00867207" w:rsidRDefault="00867207" w:rsidP="00B04E71">
      <w:pPr>
        <w:autoSpaceDE w:val="0"/>
        <w:autoSpaceDN w:val="0"/>
        <w:adjustRightInd w:val="0"/>
        <w:spacing w:after="159"/>
        <w:rPr>
          <w:rFonts w:asciiTheme="majorHAnsi" w:eastAsiaTheme="minorHAnsi" w:hAnsiTheme="majorHAnsi" w:cs="Consolas"/>
          <w:b/>
          <w:color w:val="000000" w:themeColor="text1"/>
          <w:sz w:val="22"/>
          <w:lang w:val="en-GB"/>
        </w:rPr>
      </w:pPr>
    </w:p>
    <w:p w14:paraId="5B4EAF4E" w14:textId="77777777" w:rsidR="00867207" w:rsidRDefault="00867207" w:rsidP="00B04E71">
      <w:pPr>
        <w:autoSpaceDE w:val="0"/>
        <w:autoSpaceDN w:val="0"/>
        <w:adjustRightInd w:val="0"/>
        <w:spacing w:after="159"/>
        <w:rPr>
          <w:rFonts w:asciiTheme="majorHAnsi" w:eastAsiaTheme="minorHAnsi" w:hAnsiTheme="majorHAnsi" w:cs="Consolas"/>
          <w:b/>
          <w:color w:val="000000" w:themeColor="text1"/>
          <w:sz w:val="22"/>
          <w:lang w:val="en-GB"/>
        </w:rPr>
      </w:pPr>
    </w:p>
    <w:p w14:paraId="74A83D17" w14:textId="77777777" w:rsidR="00867207" w:rsidRDefault="00867207" w:rsidP="00B04E71">
      <w:pPr>
        <w:autoSpaceDE w:val="0"/>
        <w:autoSpaceDN w:val="0"/>
        <w:adjustRightInd w:val="0"/>
        <w:spacing w:after="159"/>
        <w:rPr>
          <w:rFonts w:asciiTheme="majorHAnsi" w:eastAsiaTheme="minorHAnsi" w:hAnsiTheme="majorHAnsi" w:cs="Consolas"/>
          <w:b/>
          <w:color w:val="000000" w:themeColor="text1"/>
          <w:sz w:val="22"/>
          <w:lang w:val="en-GB"/>
        </w:rPr>
      </w:pPr>
    </w:p>
    <w:p w14:paraId="0987A837" w14:textId="6250B6CB" w:rsidR="00341221" w:rsidRPr="00341221" w:rsidRDefault="00341221" w:rsidP="00B04E71">
      <w:pPr>
        <w:autoSpaceDE w:val="0"/>
        <w:autoSpaceDN w:val="0"/>
        <w:adjustRightInd w:val="0"/>
        <w:spacing w:after="159"/>
        <w:rPr>
          <w:rFonts w:asciiTheme="majorHAnsi" w:eastAsiaTheme="minorHAnsi" w:hAnsiTheme="majorHAnsi" w:cs="Consolas"/>
          <w:b/>
          <w:color w:val="000000" w:themeColor="text1"/>
          <w:sz w:val="22"/>
          <w:lang w:val="en-GB"/>
        </w:rPr>
      </w:pPr>
      <w:r w:rsidRPr="00341221">
        <w:rPr>
          <w:rFonts w:asciiTheme="majorHAnsi" w:eastAsiaTheme="minorHAnsi" w:hAnsiTheme="majorHAnsi" w:cs="Consolas"/>
          <w:b/>
          <w:color w:val="000000" w:themeColor="text1"/>
          <w:sz w:val="22"/>
          <w:lang w:val="en-GB"/>
        </w:rPr>
        <w:lastRenderedPageBreak/>
        <w:t>The purpose of this discussion is thus to call for participants’ contributions to the following questions.</w:t>
      </w:r>
    </w:p>
    <w:p w14:paraId="68586A70" w14:textId="77777777" w:rsidR="00341221" w:rsidRPr="00341221" w:rsidRDefault="00341221" w:rsidP="00B04E71">
      <w:pPr>
        <w:spacing w:after="160" w:line="259" w:lineRule="auto"/>
        <w:rPr>
          <w:rFonts w:asciiTheme="majorHAnsi" w:eastAsiaTheme="minorHAnsi" w:hAnsiTheme="majorHAnsi" w:cs="Consolas"/>
          <w:color w:val="000000" w:themeColor="text1"/>
          <w:sz w:val="22"/>
          <w:lang w:val="en-GB"/>
        </w:rPr>
      </w:pPr>
      <w:r w:rsidRPr="00341221">
        <w:rPr>
          <w:rFonts w:asciiTheme="majorHAnsi" w:eastAsiaTheme="minorHAnsi" w:hAnsiTheme="majorHAnsi" w:cs="Consolas"/>
          <w:color w:val="000000" w:themeColor="text1"/>
          <w:sz w:val="22"/>
          <w:lang w:val="en-GB"/>
        </w:rPr>
        <w:t xml:space="preserve">1. </w:t>
      </w:r>
      <w:r w:rsidRPr="00341221">
        <w:rPr>
          <w:rFonts w:asciiTheme="majorHAnsi" w:eastAsiaTheme="minorHAnsi" w:hAnsiTheme="majorHAnsi" w:cs="Consolas"/>
          <w:color w:val="000000" w:themeColor="text1"/>
          <w:sz w:val="22"/>
          <w:u w:val="single"/>
          <w:lang w:val="en-GB"/>
        </w:rPr>
        <w:t>Sustainability and replicability of the practices</w:t>
      </w:r>
      <w:r w:rsidRPr="00341221">
        <w:rPr>
          <w:rFonts w:asciiTheme="majorHAnsi" w:eastAsiaTheme="minorHAnsi" w:hAnsiTheme="majorHAnsi" w:cs="Consolas"/>
          <w:color w:val="000000" w:themeColor="text1"/>
          <w:sz w:val="22"/>
          <w:lang w:val="en-GB"/>
        </w:rPr>
        <w:t xml:space="preserve"> </w:t>
      </w:r>
    </w:p>
    <w:p w14:paraId="22F82E32" w14:textId="77777777" w:rsidR="00341221" w:rsidRPr="00341221" w:rsidRDefault="00341221" w:rsidP="00B04E71">
      <w:pPr>
        <w:spacing w:after="160" w:line="259" w:lineRule="auto"/>
        <w:rPr>
          <w:rFonts w:asciiTheme="majorHAnsi" w:eastAsiaTheme="minorHAnsi" w:hAnsiTheme="majorHAnsi" w:cs="Consolas"/>
          <w:b/>
          <w:color w:val="000000" w:themeColor="text1"/>
          <w:sz w:val="22"/>
          <w:lang w:val="en-GB"/>
        </w:rPr>
      </w:pPr>
      <w:r w:rsidRPr="00341221">
        <w:rPr>
          <w:rFonts w:asciiTheme="majorHAnsi" w:eastAsiaTheme="minorHAnsi" w:hAnsiTheme="majorHAnsi" w:cs="Consolas"/>
          <w:b/>
          <w:color w:val="000000" w:themeColor="text1"/>
          <w:sz w:val="22"/>
          <w:lang w:val="en-GB"/>
        </w:rPr>
        <w:t xml:space="preserve">From your experience (or knowledge), which of the indigenous/traditional practices below have been successfully applied and if possible, replicated (different times or places) in order to cope with water scarcity in agriculture? Please provide examples and references.  </w:t>
      </w:r>
    </w:p>
    <w:p w14:paraId="2610F009" w14:textId="77777777" w:rsidR="00341221" w:rsidRPr="00341221" w:rsidRDefault="00341221" w:rsidP="00B04E71">
      <w:pPr>
        <w:numPr>
          <w:ilvl w:val="0"/>
          <w:numId w:val="23"/>
        </w:numPr>
        <w:spacing w:after="160" w:line="259" w:lineRule="auto"/>
        <w:ind w:left="714" w:hanging="357"/>
        <w:contextualSpacing/>
        <w:rPr>
          <w:rFonts w:asciiTheme="majorHAnsi" w:eastAsiaTheme="minorHAnsi" w:hAnsiTheme="majorHAnsi" w:cs="Consolas"/>
          <w:color w:val="000000" w:themeColor="text1"/>
          <w:sz w:val="22"/>
          <w:lang w:val="en-GB"/>
        </w:rPr>
      </w:pPr>
      <w:r w:rsidRPr="00341221">
        <w:rPr>
          <w:rFonts w:asciiTheme="majorHAnsi" w:eastAsiaTheme="minorHAnsi" w:hAnsiTheme="majorHAnsi" w:cs="Consolas"/>
          <w:color w:val="000000" w:themeColor="text1"/>
          <w:sz w:val="22"/>
          <w:lang w:val="en-GB"/>
        </w:rPr>
        <w:t>Weather forecasting and early warning systems</w:t>
      </w:r>
    </w:p>
    <w:p w14:paraId="72D541C3" w14:textId="77777777" w:rsidR="00341221" w:rsidRPr="00341221" w:rsidRDefault="00341221" w:rsidP="00B04E71">
      <w:pPr>
        <w:numPr>
          <w:ilvl w:val="0"/>
          <w:numId w:val="23"/>
        </w:numPr>
        <w:spacing w:after="160" w:line="259" w:lineRule="auto"/>
        <w:ind w:left="714" w:hanging="357"/>
        <w:contextualSpacing/>
        <w:rPr>
          <w:rFonts w:asciiTheme="majorHAnsi" w:eastAsiaTheme="minorHAnsi" w:hAnsiTheme="majorHAnsi" w:cs="Consolas"/>
          <w:color w:val="000000" w:themeColor="text1"/>
          <w:sz w:val="22"/>
          <w:lang w:val="en-GB"/>
        </w:rPr>
      </w:pPr>
      <w:r w:rsidRPr="00341221">
        <w:rPr>
          <w:rFonts w:asciiTheme="majorHAnsi" w:eastAsiaTheme="minorHAnsi" w:hAnsiTheme="majorHAnsi" w:cs="Consolas"/>
          <w:color w:val="000000" w:themeColor="text1"/>
          <w:sz w:val="22"/>
          <w:lang w:val="en-GB"/>
        </w:rPr>
        <w:t>Grazing and Livestock management</w:t>
      </w:r>
    </w:p>
    <w:p w14:paraId="7A48D464" w14:textId="77777777" w:rsidR="00341221" w:rsidRPr="00341221" w:rsidRDefault="00341221" w:rsidP="00B04E71">
      <w:pPr>
        <w:numPr>
          <w:ilvl w:val="0"/>
          <w:numId w:val="23"/>
        </w:numPr>
        <w:spacing w:after="160" w:line="259" w:lineRule="auto"/>
        <w:ind w:left="714" w:hanging="357"/>
        <w:contextualSpacing/>
        <w:rPr>
          <w:rFonts w:asciiTheme="majorHAnsi" w:eastAsiaTheme="minorHAnsi" w:hAnsiTheme="majorHAnsi" w:cs="Consolas"/>
          <w:color w:val="000000" w:themeColor="text1"/>
          <w:sz w:val="22"/>
          <w:lang w:val="en-GB"/>
        </w:rPr>
      </w:pPr>
      <w:r w:rsidRPr="00341221">
        <w:rPr>
          <w:rFonts w:asciiTheme="majorHAnsi" w:eastAsiaTheme="minorHAnsi" w:hAnsiTheme="majorHAnsi" w:cs="Consolas"/>
          <w:color w:val="000000" w:themeColor="text1"/>
          <w:sz w:val="22"/>
          <w:lang w:val="en-GB"/>
        </w:rPr>
        <w:t>Soil and Water Management (including cross slope barriers)</w:t>
      </w:r>
    </w:p>
    <w:p w14:paraId="5708F896" w14:textId="77777777" w:rsidR="00341221" w:rsidRPr="00341221" w:rsidRDefault="00341221" w:rsidP="00B04E71">
      <w:pPr>
        <w:numPr>
          <w:ilvl w:val="0"/>
          <w:numId w:val="23"/>
        </w:numPr>
        <w:spacing w:after="160" w:line="259" w:lineRule="auto"/>
        <w:ind w:left="714" w:hanging="357"/>
        <w:contextualSpacing/>
        <w:rPr>
          <w:rFonts w:asciiTheme="majorHAnsi" w:eastAsiaTheme="minorHAnsi" w:hAnsiTheme="majorHAnsi" w:cs="Consolas"/>
          <w:color w:val="000000" w:themeColor="text1"/>
          <w:sz w:val="22"/>
          <w:lang w:val="en-GB"/>
        </w:rPr>
      </w:pPr>
      <w:r w:rsidRPr="00341221">
        <w:rPr>
          <w:rFonts w:asciiTheme="majorHAnsi" w:eastAsiaTheme="minorHAnsi" w:hAnsiTheme="majorHAnsi" w:cs="Consolas"/>
          <w:color w:val="000000" w:themeColor="text1"/>
          <w:sz w:val="22"/>
          <w:lang w:val="en-GB"/>
        </w:rPr>
        <w:t>Water harvesting (and storage practices)</w:t>
      </w:r>
    </w:p>
    <w:p w14:paraId="0E3580DD" w14:textId="77777777" w:rsidR="00341221" w:rsidRPr="00341221" w:rsidRDefault="00341221" w:rsidP="00B04E71">
      <w:pPr>
        <w:numPr>
          <w:ilvl w:val="0"/>
          <w:numId w:val="23"/>
        </w:numPr>
        <w:spacing w:after="159" w:line="259" w:lineRule="auto"/>
        <w:ind w:left="714" w:hanging="357"/>
        <w:contextualSpacing/>
        <w:rPr>
          <w:rFonts w:asciiTheme="majorHAnsi" w:eastAsiaTheme="minorHAnsi" w:hAnsiTheme="majorHAnsi" w:cs="Consolas"/>
          <w:color w:val="000000" w:themeColor="text1"/>
          <w:sz w:val="22"/>
          <w:lang w:val="en-GB"/>
        </w:rPr>
      </w:pPr>
      <w:r w:rsidRPr="00341221">
        <w:rPr>
          <w:rFonts w:asciiTheme="majorHAnsi" w:eastAsiaTheme="minorHAnsi" w:hAnsiTheme="majorHAnsi" w:cs="Consolas"/>
          <w:color w:val="000000" w:themeColor="text1"/>
          <w:sz w:val="22"/>
          <w:lang w:val="en-GB"/>
        </w:rPr>
        <w:t>Forest Management (as a coping strategy to water scarcity)</w:t>
      </w:r>
    </w:p>
    <w:p w14:paraId="359D671E" w14:textId="77777777" w:rsidR="00341221" w:rsidRPr="00341221" w:rsidRDefault="00341221" w:rsidP="00B04E71">
      <w:pPr>
        <w:numPr>
          <w:ilvl w:val="0"/>
          <w:numId w:val="23"/>
        </w:numPr>
        <w:spacing w:after="159" w:line="259" w:lineRule="auto"/>
        <w:ind w:left="714" w:hanging="357"/>
        <w:contextualSpacing/>
        <w:rPr>
          <w:rFonts w:asciiTheme="majorHAnsi" w:eastAsiaTheme="minorHAnsi" w:hAnsiTheme="majorHAnsi" w:cs="Consolas"/>
          <w:color w:val="000000" w:themeColor="text1"/>
          <w:sz w:val="22"/>
          <w:lang w:val="en-GB"/>
        </w:rPr>
      </w:pPr>
      <w:r w:rsidRPr="00341221">
        <w:rPr>
          <w:rFonts w:asciiTheme="majorHAnsi" w:eastAsiaTheme="minorHAnsi" w:hAnsiTheme="majorHAnsi" w:cs="Consolas"/>
          <w:color w:val="000000" w:themeColor="text1"/>
          <w:sz w:val="22"/>
          <w:lang w:val="en-GB"/>
        </w:rPr>
        <w:t>Integrated wetlands and fisheries management</w:t>
      </w:r>
    </w:p>
    <w:p w14:paraId="7289B2A7" w14:textId="77777777" w:rsidR="00341221" w:rsidRDefault="00341221" w:rsidP="00B04E71">
      <w:pPr>
        <w:numPr>
          <w:ilvl w:val="0"/>
          <w:numId w:val="23"/>
        </w:numPr>
        <w:spacing w:after="159" w:line="259" w:lineRule="auto"/>
        <w:ind w:left="714" w:hanging="357"/>
        <w:contextualSpacing/>
        <w:rPr>
          <w:rFonts w:asciiTheme="majorHAnsi" w:eastAsiaTheme="minorHAnsi" w:hAnsiTheme="majorHAnsi" w:cs="Consolas"/>
          <w:color w:val="000000" w:themeColor="text1"/>
          <w:sz w:val="22"/>
          <w:lang w:val="en-GB"/>
        </w:rPr>
      </w:pPr>
      <w:r w:rsidRPr="00341221">
        <w:rPr>
          <w:rFonts w:asciiTheme="majorHAnsi" w:eastAsiaTheme="minorHAnsi" w:hAnsiTheme="majorHAnsi" w:cs="Consolas"/>
          <w:color w:val="000000" w:themeColor="text1"/>
          <w:sz w:val="22"/>
          <w:lang w:val="en-GB"/>
        </w:rPr>
        <w:t>Other (please specify)</w:t>
      </w:r>
    </w:p>
    <w:p w14:paraId="344D0CA4" w14:textId="77777777" w:rsidR="00341221" w:rsidRPr="00341221" w:rsidRDefault="00341221" w:rsidP="00B04E71">
      <w:pPr>
        <w:spacing w:after="159" w:line="259" w:lineRule="auto"/>
        <w:ind w:left="714"/>
        <w:contextualSpacing/>
        <w:rPr>
          <w:rFonts w:asciiTheme="majorHAnsi" w:eastAsiaTheme="minorHAnsi" w:hAnsiTheme="majorHAnsi" w:cs="Consolas"/>
          <w:color w:val="000000" w:themeColor="text1"/>
          <w:sz w:val="22"/>
          <w:lang w:val="en-GB"/>
        </w:rPr>
      </w:pPr>
    </w:p>
    <w:p w14:paraId="279798D2" w14:textId="753CA1EC" w:rsidR="00341221" w:rsidRPr="00341221" w:rsidRDefault="00341221" w:rsidP="00B04E71">
      <w:pPr>
        <w:autoSpaceDE w:val="0"/>
        <w:autoSpaceDN w:val="0"/>
        <w:adjustRightInd w:val="0"/>
        <w:spacing w:after="159"/>
        <w:rPr>
          <w:rFonts w:asciiTheme="majorHAnsi" w:eastAsiaTheme="minorHAnsi" w:hAnsiTheme="majorHAnsi" w:cs="Consolas"/>
          <w:color w:val="000000" w:themeColor="text1"/>
          <w:sz w:val="22"/>
          <w:lang w:val="en-GB"/>
        </w:rPr>
      </w:pPr>
      <w:bookmarkStart w:id="0" w:name="_GoBack"/>
      <w:bookmarkEnd w:id="0"/>
      <w:r w:rsidRPr="00341221">
        <w:rPr>
          <w:rFonts w:asciiTheme="majorHAnsi" w:eastAsiaTheme="minorHAnsi" w:hAnsiTheme="majorHAnsi" w:cs="Consolas"/>
          <w:color w:val="000000" w:themeColor="text1"/>
          <w:sz w:val="22"/>
          <w:lang w:val="en-GB"/>
        </w:rPr>
        <w:t xml:space="preserve">2. </w:t>
      </w:r>
      <w:r w:rsidRPr="00341221">
        <w:rPr>
          <w:rFonts w:asciiTheme="majorHAnsi" w:eastAsiaTheme="minorHAnsi" w:hAnsiTheme="majorHAnsi" w:cs="Consolas"/>
          <w:color w:val="000000" w:themeColor="text1"/>
          <w:sz w:val="22"/>
          <w:u w:val="single"/>
          <w:lang w:val="en-GB"/>
        </w:rPr>
        <w:t>Moving beyond semantics</w:t>
      </w:r>
    </w:p>
    <w:p w14:paraId="7DCE7658" w14:textId="77777777" w:rsidR="00341221" w:rsidRPr="00341221" w:rsidRDefault="00341221" w:rsidP="00B04E71">
      <w:pPr>
        <w:autoSpaceDE w:val="0"/>
        <w:autoSpaceDN w:val="0"/>
        <w:adjustRightInd w:val="0"/>
        <w:spacing w:after="159"/>
        <w:rPr>
          <w:rFonts w:asciiTheme="majorHAnsi" w:eastAsiaTheme="minorHAnsi" w:hAnsiTheme="majorHAnsi" w:cs="Consolas"/>
          <w:color w:val="000000" w:themeColor="text1"/>
          <w:sz w:val="22"/>
          <w:lang w:val="en-GB"/>
        </w:rPr>
      </w:pPr>
      <w:r w:rsidRPr="00341221">
        <w:rPr>
          <w:rFonts w:asciiTheme="majorHAnsi" w:eastAsiaTheme="minorHAnsi" w:hAnsiTheme="majorHAnsi" w:cs="Consolas"/>
          <w:b/>
          <w:color w:val="000000" w:themeColor="text1"/>
          <w:sz w:val="22"/>
          <w:lang w:val="en-GB"/>
        </w:rPr>
        <w:t>Having discussed all these practices/ technologies, which terminology would be most suitable to neutrally label them in the compendium?</w:t>
      </w:r>
      <w:r w:rsidRPr="00341221">
        <w:rPr>
          <w:rFonts w:asciiTheme="majorHAnsi" w:eastAsiaTheme="minorHAnsi" w:hAnsiTheme="majorHAnsi" w:cs="Consolas"/>
          <w:color w:val="000000" w:themeColor="text1"/>
          <w:sz w:val="22"/>
          <w:lang w:val="en-GB"/>
        </w:rPr>
        <w:t xml:space="preserve"> Please briefly substantiate your argument with most updated references, when available.</w:t>
      </w:r>
    </w:p>
    <w:p w14:paraId="3C8F9C37" w14:textId="77777777" w:rsidR="00341221" w:rsidRPr="00341221" w:rsidRDefault="00341221" w:rsidP="00341221">
      <w:pPr>
        <w:autoSpaceDE w:val="0"/>
        <w:autoSpaceDN w:val="0"/>
        <w:adjustRightInd w:val="0"/>
        <w:spacing w:after="159"/>
        <w:jc w:val="left"/>
        <w:rPr>
          <w:rFonts w:asciiTheme="majorHAnsi" w:eastAsiaTheme="minorHAnsi" w:hAnsiTheme="majorHAnsi" w:cs="Consolas"/>
          <w:color w:val="000000" w:themeColor="text1"/>
          <w:sz w:val="22"/>
          <w:lang w:val="en-GB"/>
        </w:rPr>
      </w:pPr>
    </w:p>
    <w:p w14:paraId="25A5C088" w14:textId="7899BA5E" w:rsidR="00341221" w:rsidRPr="00341221" w:rsidRDefault="00341221" w:rsidP="00341221">
      <w:pPr>
        <w:spacing w:after="160" w:line="259" w:lineRule="auto"/>
        <w:jc w:val="left"/>
        <w:rPr>
          <w:rFonts w:asciiTheme="majorHAnsi" w:eastAsiaTheme="minorHAnsi" w:hAnsiTheme="majorHAnsi" w:cs="Consolas"/>
          <w:color w:val="000000" w:themeColor="text1"/>
          <w:sz w:val="22"/>
          <w:lang w:val="en-GB"/>
        </w:rPr>
      </w:pPr>
      <w:r w:rsidRPr="00341221">
        <w:rPr>
          <w:rFonts w:asciiTheme="majorHAnsi" w:eastAsiaTheme="minorHAnsi" w:hAnsiTheme="majorHAnsi" w:cs="Consolas"/>
          <w:color w:val="000000" w:themeColor="text1"/>
          <w:sz w:val="22"/>
          <w:lang w:val="en-GB"/>
        </w:rPr>
        <w:t>We look forward to your inputs to this important discussion.</w:t>
      </w:r>
    </w:p>
    <w:tbl>
      <w:tblPr>
        <w:tblStyle w:val="TableGrid1"/>
        <w:tblW w:w="9856" w:type="dxa"/>
        <w:tblLook w:val="04A0" w:firstRow="1" w:lastRow="0" w:firstColumn="1" w:lastColumn="0" w:noHBand="0" w:noVBand="1"/>
      </w:tblPr>
      <w:tblGrid>
        <w:gridCol w:w="4928"/>
        <w:gridCol w:w="4928"/>
      </w:tblGrid>
      <w:tr w:rsidR="00341221" w:rsidRPr="00341221" w14:paraId="74B743D7" w14:textId="77777777" w:rsidTr="00341221">
        <w:trPr>
          <w:trHeight w:val="465"/>
        </w:trPr>
        <w:tc>
          <w:tcPr>
            <w:tcW w:w="4928" w:type="dxa"/>
          </w:tcPr>
          <w:p w14:paraId="1FCB10D5" w14:textId="77777777" w:rsidR="00341221" w:rsidRDefault="00341221" w:rsidP="00341221">
            <w:pPr>
              <w:spacing w:after="160" w:line="259" w:lineRule="auto"/>
              <w:jc w:val="left"/>
              <w:rPr>
                <w:rFonts w:asciiTheme="majorHAnsi" w:eastAsiaTheme="minorHAnsi" w:hAnsiTheme="majorHAnsi" w:cs="Consolas"/>
                <w:color w:val="000000" w:themeColor="text1"/>
                <w:sz w:val="22"/>
              </w:rPr>
            </w:pPr>
            <w:r w:rsidRPr="00341221">
              <w:rPr>
                <w:rFonts w:asciiTheme="majorHAnsi" w:eastAsiaTheme="minorHAnsi" w:hAnsiTheme="majorHAnsi" w:cs="Consolas"/>
                <w:color w:val="000000" w:themeColor="text1"/>
                <w:sz w:val="22"/>
              </w:rPr>
              <w:t>Patrick Bahal’okwibale</w:t>
            </w:r>
          </w:p>
          <w:p w14:paraId="11DA1C8E" w14:textId="4C516D95" w:rsidR="00341221" w:rsidRPr="00341221" w:rsidRDefault="00341221" w:rsidP="00341221">
            <w:pPr>
              <w:spacing w:after="160" w:line="259" w:lineRule="auto"/>
              <w:jc w:val="left"/>
              <w:rPr>
                <w:rFonts w:asciiTheme="majorHAnsi" w:eastAsiaTheme="minorHAnsi" w:hAnsiTheme="majorHAnsi" w:cs="Consolas"/>
                <w:color w:val="000000" w:themeColor="text1"/>
                <w:sz w:val="22"/>
              </w:rPr>
            </w:pPr>
            <w:r w:rsidRPr="00341221">
              <w:rPr>
                <w:rFonts w:asciiTheme="majorHAnsi" w:eastAsiaTheme="minorHAnsi" w:hAnsiTheme="majorHAnsi" w:cs="Consolas"/>
                <w:color w:val="000000" w:themeColor="text1"/>
                <w:sz w:val="22"/>
              </w:rPr>
              <w:t>FAO, Ethiopia</w:t>
            </w:r>
          </w:p>
        </w:tc>
        <w:tc>
          <w:tcPr>
            <w:tcW w:w="4928" w:type="dxa"/>
          </w:tcPr>
          <w:p w14:paraId="77862BA1" w14:textId="77777777" w:rsidR="00341221" w:rsidRPr="00341221" w:rsidRDefault="00341221" w:rsidP="00341221">
            <w:pPr>
              <w:spacing w:after="160" w:line="259" w:lineRule="auto"/>
              <w:jc w:val="left"/>
              <w:rPr>
                <w:rFonts w:asciiTheme="majorHAnsi" w:eastAsiaTheme="minorHAnsi" w:hAnsiTheme="majorHAnsi" w:cs="Consolas"/>
                <w:color w:val="000000" w:themeColor="text1"/>
                <w:sz w:val="22"/>
              </w:rPr>
            </w:pPr>
            <w:r w:rsidRPr="00341221">
              <w:rPr>
                <w:rFonts w:asciiTheme="majorHAnsi" w:eastAsiaTheme="minorHAnsi" w:hAnsiTheme="majorHAnsi" w:cs="Consolas"/>
                <w:color w:val="000000" w:themeColor="text1"/>
                <w:sz w:val="22"/>
              </w:rPr>
              <w:t>Jean-Marc Mwenge Kahinda</w:t>
            </w:r>
          </w:p>
          <w:p w14:paraId="7144BA98" w14:textId="77777777" w:rsidR="00341221" w:rsidRPr="00341221" w:rsidRDefault="00341221" w:rsidP="00341221">
            <w:pPr>
              <w:spacing w:after="160" w:line="259" w:lineRule="auto"/>
              <w:jc w:val="left"/>
              <w:rPr>
                <w:rFonts w:asciiTheme="majorHAnsi" w:eastAsiaTheme="minorHAnsi" w:hAnsiTheme="majorHAnsi" w:cs="Consolas"/>
                <w:color w:val="000000" w:themeColor="text1"/>
                <w:sz w:val="22"/>
              </w:rPr>
            </w:pPr>
            <w:r w:rsidRPr="00341221">
              <w:rPr>
                <w:rFonts w:asciiTheme="majorHAnsi" w:eastAsiaTheme="minorHAnsi" w:hAnsiTheme="majorHAnsi" w:cs="Consolas"/>
                <w:color w:val="000000" w:themeColor="text1"/>
                <w:sz w:val="22"/>
              </w:rPr>
              <w:t>CSIR, South Africa</w:t>
            </w:r>
          </w:p>
        </w:tc>
      </w:tr>
    </w:tbl>
    <w:p w14:paraId="5D30B067" w14:textId="470036E4" w:rsidR="00E21809" w:rsidRPr="00341221" w:rsidRDefault="00E21809" w:rsidP="00341221">
      <w:pPr>
        <w:pStyle w:val="Default"/>
        <w:jc w:val="both"/>
        <w:rPr>
          <w:rFonts w:asciiTheme="majorHAnsi" w:hAnsiTheme="majorHAnsi"/>
          <w:noProof/>
          <w:sz w:val="22"/>
          <w:lang w:val="en-GB" w:eastAsia="zh-CN"/>
        </w:rPr>
      </w:pPr>
    </w:p>
    <w:sectPr w:rsidR="00E21809" w:rsidRPr="00341221" w:rsidSect="008F2ADB">
      <w:headerReference w:type="default" r:id="rId8"/>
      <w:footerReference w:type="default" r:id="rId9"/>
      <w:headerReference w:type="first" r:id="rId10"/>
      <w:footerReference w:type="first" r:id="rId11"/>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5E6B2" w14:textId="77777777" w:rsidR="006B734B" w:rsidRDefault="006B734B" w:rsidP="00D079C6">
      <w:pPr>
        <w:spacing w:after="0"/>
      </w:pPr>
      <w:r>
        <w:separator/>
      </w:r>
    </w:p>
    <w:p w14:paraId="52F02E47" w14:textId="77777777" w:rsidR="006B734B" w:rsidRDefault="006B734B"/>
  </w:endnote>
  <w:endnote w:type="continuationSeparator" w:id="0">
    <w:p w14:paraId="33552D8C" w14:textId="77777777" w:rsidR="006B734B" w:rsidRDefault="006B734B" w:rsidP="00D079C6">
      <w:pPr>
        <w:spacing w:after="0"/>
      </w:pPr>
      <w:r>
        <w:continuationSeparator/>
      </w:r>
    </w:p>
    <w:p w14:paraId="65C12FDF" w14:textId="77777777" w:rsidR="006B734B" w:rsidRDefault="006B7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527518" w:rsidRDefault="00527518" w:rsidP="00527518">
    <w:pPr>
      <w:pStyle w:val="Footer"/>
      <w:tabs>
        <w:tab w:val="clear" w:pos="9360"/>
        <w:tab w:val="right" w:pos="9639"/>
      </w:tabs>
      <w:jc w:val="left"/>
      <w:rPr>
        <w:rStyle w:val="Hyperlink"/>
      </w:rPr>
    </w:pPr>
    <w:r w:rsidRPr="00527518">
      <w:rPr>
        <w:color w:val="31849B" w:themeColor="accent5" w:themeShade="BF"/>
      </w:rPr>
      <w:t>Global Forum on Food Security and Nutrition</w:t>
    </w:r>
    <w:r>
      <w:rPr>
        <w:color w:val="31849B" w:themeColor="accent5" w:themeShade="BF"/>
      </w:rPr>
      <w:tab/>
    </w:r>
    <w:r w:rsidRPr="00527518">
      <w:rPr>
        <w:color w:val="C00000"/>
      </w:rPr>
      <w:tab/>
    </w:r>
    <w:hyperlink r:id="rId1" w:history="1">
      <w:r w:rsidRPr="00527518">
        <w:rPr>
          <w:rStyle w:val="Hyperlink"/>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0BA42B8D" w:rsidR="00523E6B" w:rsidRPr="00527518" w:rsidRDefault="00523E6B" w:rsidP="008F2ADB">
    <w:pPr>
      <w:pStyle w:val="Footer"/>
      <w:tabs>
        <w:tab w:val="clear" w:pos="9360"/>
        <w:tab w:val="right" w:pos="9639"/>
      </w:tabs>
      <w:jc w:val="left"/>
      <w:rPr>
        <w:rStyle w:val="Hyperlink"/>
      </w:rPr>
    </w:pPr>
    <w:r w:rsidRPr="00527518">
      <w:rPr>
        <w:color w:val="31849B" w:themeColor="accent5" w:themeShade="BF"/>
      </w:rPr>
      <w:t>Global Forum on Food Security and Nutrition</w:t>
    </w:r>
    <w:r w:rsidR="00527518">
      <w:rPr>
        <w:color w:val="31849B" w:themeColor="accent5" w:themeShade="BF"/>
      </w:rPr>
      <w:tab/>
    </w:r>
    <w:r w:rsidRPr="00527518">
      <w:rPr>
        <w:color w:val="C00000"/>
      </w:rPr>
      <w:tab/>
    </w:r>
    <w:hyperlink r:id="rId1" w:history="1">
      <w:r w:rsidRPr="00527518">
        <w:rPr>
          <w:rStyle w:val="Hyperlink"/>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140F0" w14:textId="77777777" w:rsidR="006B734B" w:rsidRDefault="006B734B" w:rsidP="00D079C6">
      <w:pPr>
        <w:spacing w:after="0"/>
      </w:pPr>
      <w:r>
        <w:separator/>
      </w:r>
    </w:p>
    <w:p w14:paraId="6DF5179E" w14:textId="77777777" w:rsidR="006B734B" w:rsidRDefault="006B734B"/>
  </w:footnote>
  <w:footnote w:type="continuationSeparator" w:id="0">
    <w:p w14:paraId="583E7CE6" w14:textId="77777777" w:rsidR="006B734B" w:rsidRDefault="006B734B" w:rsidP="00D079C6">
      <w:pPr>
        <w:spacing w:after="0"/>
      </w:pPr>
      <w:r>
        <w:continuationSeparator/>
      </w:r>
    </w:p>
    <w:p w14:paraId="704A5A65" w14:textId="77777777" w:rsidR="006B734B" w:rsidRDefault="006B73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80"/>
      <w:gridCol w:w="9152"/>
    </w:tblGrid>
    <w:tr w:rsidR="00523E6B" w:rsidRPr="00B54A9F" w14:paraId="7DBC5ECB" w14:textId="77777777" w:rsidTr="00220FC1">
      <w:tc>
        <w:tcPr>
          <w:tcW w:w="249" w:type="pct"/>
        </w:tcPr>
        <w:p w14:paraId="02C8A6C8" w14:textId="77777777" w:rsidR="00523E6B" w:rsidRPr="00B01341" w:rsidRDefault="00523E6B">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867207">
            <w:rPr>
              <w:noProof/>
              <w:color w:val="31849B"/>
              <w:sz w:val="20"/>
              <w:szCs w:val="20"/>
            </w:rPr>
            <w:t>2</w:t>
          </w:r>
          <w:r w:rsidRPr="00B01341">
            <w:rPr>
              <w:color w:val="31849B"/>
              <w:sz w:val="20"/>
              <w:szCs w:val="20"/>
            </w:rPr>
            <w:fldChar w:fldCharType="end"/>
          </w:r>
        </w:p>
      </w:tc>
      <w:tc>
        <w:tcPr>
          <w:tcW w:w="4751" w:type="pct"/>
        </w:tcPr>
        <w:p w14:paraId="66B30B10" w14:textId="673BD798" w:rsidR="00523E6B" w:rsidRPr="008F2ADB" w:rsidRDefault="00651FFD" w:rsidP="00651FFD">
          <w:pPr>
            <w:pStyle w:val="top"/>
          </w:pPr>
          <w:r w:rsidRPr="00651FFD">
            <w:t>Addressing water scarcity in agriculture: how can indigenous or traditional practices help?</w:t>
          </w:r>
          <w:r>
            <w:t xml:space="preserve"> </w:t>
          </w:r>
        </w:p>
      </w:tc>
    </w:tr>
  </w:tbl>
  <w:p w14:paraId="59EDF489" w14:textId="77777777" w:rsidR="00523E6B" w:rsidRPr="00B54A9F" w:rsidRDefault="00523E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8B358" w14:textId="390B5E7A" w:rsidR="00523E6B" w:rsidRDefault="00523E6B" w:rsidP="008E48A2">
    <w:pPr>
      <w:pStyle w:val="Header"/>
      <w:jc w:val="left"/>
      <w:rPr>
        <w:b/>
        <w:color w:val="FFFFFF"/>
      </w:rPr>
    </w:pPr>
    <w:r w:rsidRPr="00DC6173">
      <w:t xml:space="preserve"> </w:t>
    </w:r>
    <w:r>
      <w:rPr>
        <w:noProof/>
        <w:lang w:val="en-GB" w:eastAsia="zh-CN"/>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3932FC75" w:rsidR="00523E6B" w:rsidRPr="00242BC8" w:rsidRDefault="00242BC8" w:rsidP="00242BC8">
    <w:pPr>
      <w:pStyle w:val="Heading4"/>
    </w:pPr>
    <w:r>
      <w:rPr>
        <w:noProof/>
        <w:lang w:val="en-GB" w:eastAsia="zh-CN"/>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77777777" w:rsidR="00523E6B" w:rsidRPr="0043646E" w:rsidRDefault="00523E6B" w:rsidP="00F4087E">
          <w:pPr>
            <w:pStyle w:val="Heading6"/>
            <w:spacing w:before="0" w:after="0"/>
          </w:pPr>
          <w:r w:rsidRPr="0043646E">
            <w:t>TOPIC</w:t>
          </w:r>
          <w:r w:rsidRPr="000929E7">
            <w:t xml:space="preserve"> </w:t>
          </w:r>
          <w:r w:rsidRPr="0043646E">
            <w:t>NOTE</w:t>
          </w:r>
        </w:p>
      </w:tc>
    </w:tr>
    <w:tr w:rsidR="00523E6B" w:rsidRPr="00EB3574" w14:paraId="36933E01" w14:textId="77777777" w:rsidTr="00A30E12">
      <w:trPr>
        <w:jc w:val="center"/>
      </w:trPr>
      <w:tc>
        <w:tcPr>
          <w:tcW w:w="9639" w:type="dxa"/>
          <w:shd w:val="clear" w:color="auto" w:fill="FFFFFF" w:themeFill="background1"/>
        </w:tcPr>
        <w:p w14:paraId="0A3BE37F" w14:textId="0993BB56" w:rsidR="00523E6B" w:rsidRPr="00135B0D" w:rsidRDefault="00523E6B" w:rsidP="00867207">
          <w:pPr>
            <w:spacing w:after="0" w:line="276" w:lineRule="auto"/>
            <w:jc w:val="center"/>
            <w:rPr>
              <w:rFonts w:asciiTheme="majorHAnsi" w:hAnsiTheme="majorHAnsi"/>
              <w:b/>
              <w:color w:val="31849B" w:themeColor="accent5" w:themeShade="BF"/>
            </w:rPr>
          </w:pPr>
          <w:r>
            <w:rPr>
              <w:rFonts w:asciiTheme="majorHAnsi" w:hAnsiTheme="majorHAnsi"/>
              <w:b/>
            </w:rPr>
            <w:t>Discussion No.</w:t>
          </w:r>
          <w:r w:rsidRPr="00B655B5">
            <w:rPr>
              <w:rFonts w:asciiTheme="majorHAnsi" w:hAnsiTheme="majorHAnsi"/>
              <w:b/>
            </w:rPr>
            <w:t xml:space="preserve"> 1</w:t>
          </w:r>
          <w:r w:rsidR="00651FFD">
            <w:rPr>
              <w:rFonts w:asciiTheme="majorHAnsi" w:hAnsiTheme="majorHAnsi"/>
              <w:b/>
            </w:rPr>
            <w:t>51</w:t>
          </w:r>
          <w:r w:rsidRPr="00B655B5">
            <w:rPr>
              <w:rFonts w:asciiTheme="majorHAnsi" w:hAnsiTheme="majorHAnsi"/>
              <w:b/>
            </w:rPr>
            <w:t xml:space="preserve">  </w:t>
          </w:r>
          <w:r w:rsidRPr="00B655B5">
            <w:rPr>
              <w:rFonts w:ascii="Wingdings" w:hAnsi="Wingdings"/>
              <w:color w:val="31849B" w:themeColor="accent5" w:themeShade="BF"/>
            </w:rPr>
            <w:t></w:t>
          </w:r>
          <w:r w:rsidRPr="00B655B5">
            <w:rPr>
              <w:rFonts w:asciiTheme="majorHAnsi" w:hAnsiTheme="majorHAnsi"/>
              <w:b/>
            </w:rPr>
            <w:t xml:space="preserve">  </w:t>
          </w:r>
          <w:r w:rsidR="00651FFD">
            <w:rPr>
              <w:rFonts w:asciiTheme="majorHAnsi" w:hAnsiTheme="majorHAnsi"/>
              <w:b/>
            </w:rPr>
            <w:t>12</w:t>
          </w:r>
          <w:r w:rsidR="00E21809">
            <w:rPr>
              <w:rFonts w:asciiTheme="majorHAnsi" w:hAnsiTheme="majorHAnsi"/>
              <w:b/>
            </w:rPr>
            <w:t>.06.201</w:t>
          </w:r>
          <w:r w:rsidR="006509C1">
            <w:rPr>
              <w:rFonts w:asciiTheme="majorHAnsi" w:hAnsiTheme="majorHAnsi"/>
              <w:b/>
            </w:rPr>
            <w:t>8 – 03</w:t>
          </w:r>
          <w:r w:rsidR="00E21809">
            <w:rPr>
              <w:rFonts w:asciiTheme="majorHAnsi" w:hAnsiTheme="majorHAnsi"/>
              <w:b/>
            </w:rPr>
            <w:t>.07</w:t>
          </w:r>
          <w:r w:rsidR="00651FFD">
            <w:rPr>
              <w:rFonts w:asciiTheme="majorHAnsi" w:hAnsiTheme="majorHAnsi"/>
              <w:b/>
            </w:rPr>
            <w:t>.2018</w:t>
          </w:r>
          <w:r>
            <w:rPr>
              <w:rFonts w:asciiTheme="majorHAnsi" w:hAnsiTheme="majorHAnsi"/>
              <w:b/>
              <w:color w:val="31849B" w:themeColor="accent5" w:themeShade="BF"/>
            </w:rPr>
            <w:br/>
          </w:r>
          <w:r>
            <w:rPr>
              <w:noProof/>
              <w:lang w:val="en-GB" w:eastAsia="zh-CN"/>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4" w:history="1">
            <w:r w:rsidR="00867207" w:rsidRPr="0090022E">
              <w:rPr>
                <w:rStyle w:val="Hyperlink"/>
              </w:rPr>
              <w:t>www.fao.org/fsnforum/activities/discussions/water-scarcity</w:t>
            </w:r>
          </w:hyperlink>
          <w:r w:rsidR="008845F6">
            <w:t xml:space="preserve"> </w:t>
          </w:r>
          <w:r w:rsidR="004E1480">
            <w:t xml:space="preserve"> </w:t>
          </w:r>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76C5F"/>
    <w:multiLevelType w:val="hybridMultilevel"/>
    <w:tmpl w:val="C80AB3B4"/>
    <w:lvl w:ilvl="0" w:tplc="D4F8DA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2"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2"/>
  </w:num>
  <w:num w:numId="4">
    <w:abstractNumId w:val="12"/>
  </w:num>
  <w:num w:numId="5">
    <w:abstractNumId w:val="4"/>
  </w:num>
  <w:num w:numId="6">
    <w:abstractNumId w:val="14"/>
  </w:num>
  <w:num w:numId="7">
    <w:abstractNumId w:val="5"/>
  </w:num>
  <w:num w:numId="8">
    <w:abstractNumId w:val="7"/>
  </w:num>
  <w:num w:numId="9">
    <w:abstractNumId w:val="13"/>
  </w:num>
  <w:num w:numId="10">
    <w:abstractNumId w:val="15"/>
  </w:num>
  <w:num w:numId="11">
    <w:abstractNumId w:val="11"/>
  </w:num>
  <w:num w:numId="12">
    <w:abstractNumId w:val="15"/>
  </w:num>
  <w:num w:numId="13">
    <w:abstractNumId w:val="17"/>
  </w:num>
  <w:num w:numId="14">
    <w:abstractNumId w:val="3"/>
  </w:num>
  <w:num w:numId="15">
    <w:abstractNumId w:val="18"/>
  </w:num>
  <w:num w:numId="16">
    <w:abstractNumId w:val="6"/>
  </w:num>
  <w:num w:numId="17">
    <w:abstractNumId w:val="9"/>
  </w:num>
  <w:num w:numId="18">
    <w:abstractNumId w:val="19"/>
  </w:num>
  <w:num w:numId="19">
    <w:abstractNumId w:val="1"/>
  </w:num>
  <w:num w:numId="20">
    <w:abstractNumId w:val="21"/>
  </w:num>
  <w:num w:numId="21">
    <w:abstractNumId w:val="10"/>
  </w:num>
  <w:num w:numId="22">
    <w:abstractNumId w:val="2"/>
  </w:num>
  <w:num w:numId="2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131078" w:nlCheck="1" w:checkStyle="1"/>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2954"/>
    <w:rsid w:val="00242BC8"/>
    <w:rsid w:val="00245034"/>
    <w:rsid w:val="002475DE"/>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1221"/>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6FC2"/>
    <w:rsid w:val="003E1E02"/>
    <w:rsid w:val="003E7A41"/>
    <w:rsid w:val="003F1596"/>
    <w:rsid w:val="003F2437"/>
    <w:rsid w:val="004001EC"/>
    <w:rsid w:val="00402F5C"/>
    <w:rsid w:val="00413C59"/>
    <w:rsid w:val="00415E47"/>
    <w:rsid w:val="004339ED"/>
    <w:rsid w:val="00434855"/>
    <w:rsid w:val="0043646E"/>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95E3E"/>
    <w:rsid w:val="004A1563"/>
    <w:rsid w:val="004A1790"/>
    <w:rsid w:val="004B20C3"/>
    <w:rsid w:val="004B53B6"/>
    <w:rsid w:val="004C1BF7"/>
    <w:rsid w:val="004C3B08"/>
    <w:rsid w:val="004C74D0"/>
    <w:rsid w:val="004D2808"/>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2C03"/>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013E"/>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1"/>
    <w:rsid w:val="006509CA"/>
    <w:rsid w:val="00651FFD"/>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5D61"/>
    <w:rsid w:val="006B632F"/>
    <w:rsid w:val="006B734B"/>
    <w:rsid w:val="006B76E6"/>
    <w:rsid w:val="006C6EE4"/>
    <w:rsid w:val="006D0BEC"/>
    <w:rsid w:val="006D6502"/>
    <w:rsid w:val="006E07F8"/>
    <w:rsid w:val="006E1543"/>
    <w:rsid w:val="006E1D74"/>
    <w:rsid w:val="006E2F07"/>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44AA"/>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7F5174"/>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67207"/>
    <w:rsid w:val="008701AE"/>
    <w:rsid w:val="0087091C"/>
    <w:rsid w:val="0087300F"/>
    <w:rsid w:val="008734A3"/>
    <w:rsid w:val="00874140"/>
    <w:rsid w:val="0087588C"/>
    <w:rsid w:val="008845F6"/>
    <w:rsid w:val="00884BE1"/>
    <w:rsid w:val="00885A30"/>
    <w:rsid w:val="008871B4"/>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47FF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7FA8"/>
    <w:rsid w:val="009C444E"/>
    <w:rsid w:val="009D172C"/>
    <w:rsid w:val="009D4B26"/>
    <w:rsid w:val="009E1E0A"/>
    <w:rsid w:val="009E3CB3"/>
    <w:rsid w:val="009E5D98"/>
    <w:rsid w:val="009F1C1F"/>
    <w:rsid w:val="009F3520"/>
    <w:rsid w:val="00A105E4"/>
    <w:rsid w:val="00A14DBF"/>
    <w:rsid w:val="00A17476"/>
    <w:rsid w:val="00A26B4F"/>
    <w:rsid w:val="00A30324"/>
    <w:rsid w:val="00A30E12"/>
    <w:rsid w:val="00A4253D"/>
    <w:rsid w:val="00A45E8D"/>
    <w:rsid w:val="00A462C5"/>
    <w:rsid w:val="00A50B57"/>
    <w:rsid w:val="00A526FE"/>
    <w:rsid w:val="00A53E98"/>
    <w:rsid w:val="00A600FB"/>
    <w:rsid w:val="00A6607D"/>
    <w:rsid w:val="00A675E8"/>
    <w:rsid w:val="00A72480"/>
    <w:rsid w:val="00A73368"/>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4E71"/>
    <w:rsid w:val="00B057CC"/>
    <w:rsid w:val="00B0735E"/>
    <w:rsid w:val="00B103B4"/>
    <w:rsid w:val="00B11EBE"/>
    <w:rsid w:val="00B13424"/>
    <w:rsid w:val="00B330F2"/>
    <w:rsid w:val="00B34236"/>
    <w:rsid w:val="00B35E4D"/>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2B54"/>
    <w:rsid w:val="00C6707F"/>
    <w:rsid w:val="00C70BAF"/>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F01A6"/>
    <w:rsid w:val="00DF4E15"/>
    <w:rsid w:val="00E022AD"/>
    <w:rsid w:val="00E03AAE"/>
    <w:rsid w:val="00E10963"/>
    <w:rsid w:val="00E1150C"/>
    <w:rsid w:val="00E1246A"/>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3E43"/>
    <w:rsid w:val="00E9508F"/>
    <w:rsid w:val="00EA0D1D"/>
    <w:rsid w:val="00EB1C4B"/>
    <w:rsid w:val="00EB2ADE"/>
    <w:rsid w:val="00EB3574"/>
    <w:rsid w:val="00EB5EE6"/>
    <w:rsid w:val="00EB6BA5"/>
    <w:rsid w:val="00EC0D0A"/>
    <w:rsid w:val="00EC54CD"/>
    <w:rsid w:val="00EC5825"/>
    <w:rsid w:val="00ED481D"/>
    <w:rsid w:val="00ED706E"/>
    <w:rsid w:val="00EF2A44"/>
    <w:rsid w:val="00EF404C"/>
    <w:rsid w:val="00EF6D5B"/>
    <w:rsid w:val="00F0262F"/>
    <w:rsid w:val="00F10080"/>
    <w:rsid w:val="00F13551"/>
    <w:rsid w:val="00F13E43"/>
    <w:rsid w:val="00F2254B"/>
    <w:rsid w:val="00F25E6E"/>
    <w:rsid w:val="00F31846"/>
    <w:rsid w:val="00F34653"/>
    <w:rsid w:val="00F374FF"/>
    <w:rsid w:val="00F37A93"/>
    <w:rsid w:val="00F4087E"/>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72"/>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table" w:customStyle="1" w:styleId="TableGrid1">
    <w:name w:val="Table Grid1"/>
    <w:basedOn w:val="TableNormal"/>
    <w:next w:val="TableGrid"/>
    <w:uiPriority w:val="39"/>
    <w:rsid w:val="00341221"/>
    <w:rPr>
      <w:rFonts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activities/discussions/water-scar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2CB4C-C8A9-426D-B773-7B8DD90A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497</Words>
  <Characters>2838</Characters>
  <Application>Microsoft Office Word</Application>
  <DocSecurity>0</DocSecurity>
  <Lines>23</Lines>
  <Paragraphs>6</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3329</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Blanck, Max (ESA)</cp:lastModifiedBy>
  <cp:revision>17</cp:revision>
  <cp:lastPrinted>2015-10-06T13:23:00Z</cp:lastPrinted>
  <dcterms:created xsi:type="dcterms:W3CDTF">2016-05-27T12:31:00Z</dcterms:created>
  <dcterms:modified xsi:type="dcterms:W3CDTF">2018-06-12T09:12:00Z</dcterms:modified>
</cp:coreProperties>
</file>