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3107" w14:textId="7D34568F" w:rsidR="001D28B2" w:rsidRPr="002231C8" w:rsidRDefault="00A4234B" w:rsidP="00DE2CF3">
      <w:pPr>
        <w:spacing w:after="0" w:line="240" w:lineRule="auto"/>
        <w:jc w:val="center"/>
        <w:rPr>
          <w:i/>
          <w:sz w:val="32"/>
          <w:szCs w:val="32"/>
          <w:lang w:val="fr-FR"/>
        </w:rPr>
      </w:pPr>
      <w:r w:rsidRPr="002231C8">
        <w:rPr>
          <w:rFonts w:ascii="Calibri" w:hAnsi="Calibri"/>
          <w:i/>
          <w:sz w:val="32"/>
          <w:szCs w:val="32"/>
          <w:lang w:val="fr-FR"/>
        </w:rPr>
        <w:t>Projet de plan annoté</w:t>
      </w:r>
    </w:p>
    <w:p w14:paraId="681CB5ED" w14:textId="44836C6A" w:rsidR="001D28B2" w:rsidRPr="002231C8" w:rsidRDefault="00602AC2" w:rsidP="00012BBC">
      <w:pPr>
        <w:spacing w:after="0" w:line="240" w:lineRule="auto"/>
        <w:jc w:val="center"/>
        <w:rPr>
          <w:b/>
          <w:sz w:val="32"/>
          <w:szCs w:val="32"/>
          <w:lang w:val="fr-FR"/>
        </w:rPr>
      </w:pPr>
      <w:r w:rsidRPr="002231C8">
        <w:rPr>
          <w:rFonts w:ascii="Calibri" w:hAnsi="Calibri"/>
          <w:b/>
          <w:sz w:val="32"/>
          <w:szCs w:val="32"/>
          <w:lang w:val="fr-FR"/>
        </w:rPr>
        <w:t>Code de conduite (CdC) sur la réduction des pertes et d</w:t>
      </w:r>
      <w:r w:rsidR="007241D3" w:rsidRPr="002231C8">
        <w:rPr>
          <w:rFonts w:ascii="Calibri" w:hAnsi="Calibri"/>
          <w:b/>
          <w:sz w:val="32"/>
          <w:szCs w:val="32"/>
          <w:lang w:val="fr-FR"/>
        </w:rPr>
        <w:t>u</w:t>
      </w:r>
      <w:r w:rsidRPr="002231C8">
        <w:rPr>
          <w:rFonts w:ascii="Calibri" w:hAnsi="Calibri"/>
          <w:b/>
          <w:sz w:val="32"/>
          <w:szCs w:val="32"/>
          <w:lang w:val="fr-FR"/>
        </w:rPr>
        <w:t xml:space="preserve"> gaspillage alimentaires</w:t>
      </w:r>
    </w:p>
    <w:p w14:paraId="6ED324F8" w14:textId="77777777" w:rsidR="00831468" w:rsidRDefault="00831468" w:rsidP="00DE2CF3">
      <w:pPr>
        <w:spacing w:after="0" w:line="240" w:lineRule="auto"/>
        <w:rPr>
          <w:lang w:val="fr-FR"/>
        </w:rPr>
      </w:pPr>
    </w:p>
    <w:p w14:paraId="307C43E1" w14:textId="20B8C4D2" w:rsidR="001D28B2" w:rsidRPr="00831468" w:rsidRDefault="00831468" w:rsidP="00831468">
      <w:pPr>
        <w:pStyle w:val="ListParagraph"/>
        <w:numPr>
          <w:ilvl w:val="0"/>
          <w:numId w:val="35"/>
        </w:numPr>
        <w:spacing w:after="0" w:line="240" w:lineRule="auto"/>
        <w:jc w:val="both"/>
        <w:rPr>
          <w:rFonts w:ascii="Calibri" w:hAnsi="Calibri"/>
          <w:b/>
          <w:caps/>
          <w:color w:val="000000" w:themeColor="text1"/>
          <w:sz w:val="28"/>
          <w:lang w:val="fr-FR"/>
        </w:rPr>
      </w:pPr>
      <w:r w:rsidRPr="00831468">
        <w:rPr>
          <w:rFonts w:ascii="Calibri" w:hAnsi="Calibri"/>
          <w:b/>
          <w:caps/>
          <w:color w:val="000000" w:themeColor="text1"/>
          <w:sz w:val="28"/>
          <w:lang w:val="fr-FR"/>
        </w:rPr>
        <w:t>Introduc</w:t>
      </w:r>
      <w:r>
        <w:rPr>
          <w:rFonts w:ascii="Calibri" w:hAnsi="Calibri"/>
          <w:b/>
          <w:caps/>
          <w:color w:val="000000" w:themeColor="text1"/>
          <w:sz w:val="28"/>
          <w:lang w:val="fr-FR"/>
        </w:rPr>
        <w:t>t</w:t>
      </w:r>
      <w:r w:rsidRPr="00831468">
        <w:rPr>
          <w:rFonts w:ascii="Calibri" w:hAnsi="Calibri"/>
          <w:b/>
          <w:caps/>
          <w:color w:val="000000" w:themeColor="text1"/>
          <w:sz w:val="28"/>
          <w:lang w:val="fr-FR"/>
        </w:rPr>
        <w:t>ion</w:t>
      </w:r>
    </w:p>
    <w:p w14:paraId="0B30220E" w14:textId="77777777" w:rsidR="001C1D52" w:rsidRPr="002231C8" w:rsidRDefault="001C1D52" w:rsidP="00831468">
      <w:pPr>
        <w:pStyle w:val="ListParagraph"/>
        <w:spacing w:after="0" w:line="240" w:lineRule="auto"/>
        <w:ind w:left="792"/>
        <w:jc w:val="both"/>
        <w:rPr>
          <w:b/>
          <w:caps/>
          <w:color w:val="000000" w:themeColor="text1"/>
          <w:lang w:val="fr-FR"/>
        </w:rPr>
      </w:pPr>
    </w:p>
    <w:p w14:paraId="2CC9F369" w14:textId="25147C50" w:rsidR="00F82F6F" w:rsidRPr="002231C8" w:rsidRDefault="00602AC2" w:rsidP="00597EF7">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Contexte</w:t>
      </w:r>
      <w:r w:rsidR="00F82F6F" w:rsidRPr="002231C8">
        <w:rPr>
          <w:b/>
          <w:caps/>
          <w:color w:val="000000" w:themeColor="text1"/>
          <w:lang w:val="fr-FR"/>
        </w:rPr>
        <w:t xml:space="preserve"> </w:t>
      </w:r>
    </w:p>
    <w:p w14:paraId="5A8BCA40" w14:textId="377A9735" w:rsidR="004847E9" w:rsidRPr="002231C8" w:rsidRDefault="007E696C" w:rsidP="007E696C">
      <w:pPr>
        <w:spacing w:after="120" w:line="240" w:lineRule="auto"/>
        <w:jc w:val="both"/>
        <w:rPr>
          <w:rFonts w:eastAsia="SimSun"/>
          <w:color w:val="000000" w:themeColor="text1"/>
          <w:lang w:val="fr-FR"/>
        </w:rPr>
      </w:pPr>
      <w:r w:rsidRPr="002231C8">
        <w:rPr>
          <w:rFonts w:ascii="Calibri" w:eastAsia="SimSun" w:hAnsi="Calibri"/>
          <w:color w:val="000000" w:themeColor="text1"/>
          <w:lang w:val="fr-FR"/>
        </w:rPr>
        <w:t xml:space="preserve">Cette section fait référence à la vingt-sixième session du Comité de l'agriculture (COAG) tenue en 2018, durant laquelle celui-ci a invité la FAO </w:t>
      </w:r>
      <w:r w:rsidRPr="002231C8">
        <w:rPr>
          <w:rFonts w:ascii="Calibri" w:eastAsia="SimSun" w:hAnsi="Calibri"/>
          <w:i/>
          <w:color w:val="000000" w:themeColor="text1"/>
          <w:lang w:val="fr-FR"/>
        </w:rPr>
        <w:t xml:space="preserve">à prendre l'initiative, en collaboration avec les acteurs concernés, </w:t>
      </w:r>
      <w:r w:rsidR="00271A35" w:rsidRPr="002231C8">
        <w:rPr>
          <w:rFonts w:ascii="Calibri" w:eastAsia="SimSun" w:hAnsi="Calibri"/>
          <w:i/>
          <w:color w:val="000000" w:themeColor="text1"/>
          <w:lang w:val="fr-FR"/>
        </w:rPr>
        <w:t>dans l’élaboration</w:t>
      </w:r>
      <w:r w:rsidRPr="002231C8">
        <w:rPr>
          <w:rFonts w:ascii="Calibri" w:eastAsia="SimSun" w:hAnsi="Calibri"/>
          <w:i/>
          <w:color w:val="000000" w:themeColor="text1"/>
          <w:lang w:val="fr-FR"/>
        </w:rPr>
        <w:t xml:space="preserve"> de codes de conduite volontaires sur les pertes et </w:t>
      </w:r>
      <w:r w:rsidR="00A7263F" w:rsidRPr="002231C8">
        <w:rPr>
          <w:rFonts w:ascii="Calibri" w:eastAsia="SimSun" w:hAnsi="Calibri"/>
          <w:i/>
          <w:color w:val="000000" w:themeColor="text1"/>
          <w:lang w:val="fr-FR"/>
        </w:rPr>
        <w:t xml:space="preserve">le </w:t>
      </w:r>
      <w:r w:rsidRPr="002231C8">
        <w:rPr>
          <w:rFonts w:ascii="Calibri" w:eastAsia="SimSun" w:hAnsi="Calibri"/>
          <w:i/>
          <w:color w:val="000000" w:themeColor="text1"/>
          <w:lang w:val="fr-FR"/>
        </w:rPr>
        <w:t>gaspillage alimentaires que le Comité examinera à la session suivante (COAG 27)</w:t>
      </w:r>
      <w:r w:rsidRPr="002231C8">
        <w:rPr>
          <w:rFonts w:ascii="Calibri" w:eastAsia="SimSun" w:hAnsi="Calibri"/>
          <w:color w:val="000000" w:themeColor="text1"/>
          <w:lang w:val="fr-FR"/>
        </w:rPr>
        <w:t>.</w:t>
      </w:r>
      <w:r w:rsidR="002000C8" w:rsidRPr="002231C8">
        <w:rPr>
          <w:rFonts w:eastAsia="SimSun"/>
          <w:color w:val="000000" w:themeColor="text1"/>
          <w:lang w:val="fr-FR"/>
        </w:rPr>
        <w:t xml:space="preserve"> </w:t>
      </w:r>
    </w:p>
    <w:p w14:paraId="3FDAE18D" w14:textId="58809D7D" w:rsidR="00F82F6F" w:rsidRPr="002231C8" w:rsidRDefault="00B9233E" w:rsidP="00DE2CF3">
      <w:pPr>
        <w:spacing w:after="0" w:line="240" w:lineRule="auto"/>
        <w:jc w:val="both"/>
        <w:rPr>
          <w:rFonts w:eastAsia="SimSun"/>
          <w:color w:val="000000" w:themeColor="text1"/>
          <w:lang w:val="fr-FR"/>
        </w:rPr>
      </w:pPr>
      <w:r w:rsidRPr="002231C8">
        <w:rPr>
          <w:rFonts w:ascii="Calibri" w:eastAsia="SimSun" w:hAnsi="Calibri"/>
          <w:color w:val="000000" w:themeColor="text1"/>
          <w:lang w:val="fr-FR"/>
        </w:rPr>
        <w:t xml:space="preserve">Elle fera également référence aux cadres politiques mondiaux </w:t>
      </w:r>
      <w:r w:rsidR="001C1D52" w:rsidRPr="002231C8">
        <w:rPr>
          <w:rFonts w:ascii="Calibri" w:eastAsia="SimSun" w:hAnsi="Calibri"/>
          <w:color w:val="000000" w:themeColor="text1"/>
          <w:lang w:val="fr-FR"/>
        </w:rPr>
        <w:t>en vigueur</w:t>
      </w:r>
      <w:r w:rsidRPr="002231C8">
        <w:rPr>
          <w:rFonts w:ascii="Calibri" w:eastAsia="SimSun" w:hAnsi="Calibri"/>
          <w:color w:val="000000" w:themeColor="text1"/>
          <w:lang w:val="fr-FR"/>
        </w:rPr>
        <w:t xml:space="preserve"> (par exemple, le Défi Faim Zéro, le Programme de développement durable à l'horizon 2030, le Cadre d'action de la CIN2, les recommandations du CSA concernant les pertes et le gaspillage alimentaires dans le contexte des systèmes alimentaires durables), ainsi que les principales initiatives régionales pertinentes en matière de pertes et de gaspillage alimentaires.</w:t>
      </w:r>
    </w:p>
    <w:p w14:paraId="4B0BB211" w14:textId="77777777" w:rsidR="00F82F6F" w:rsidRPr="002231C8" w:rsidRDefault="00F82F6F" w:rsidP="00DE2CF3">
      <w:pPr>
        <w:spacing w:after="0" w:line="240" w:lineRule="auto"/>
        <w:jc w:val="both"/>
        <w:rPr>
          <w:b/>
          <w:color w:val="000000" w:themeColor="text1"/>
          <w:lang w:val="fr-FR"/>
        </w:rPr>
      </w:pPr>
    </w:p>
    <w:p w14:paraId="1ABB19D5" w14:textId="7A43F6FC" w:rsidR="00F82F6F" w:rsidRPr="002231C8" w:rsidRDefault="00760C11" w:rsidP="00597EF7">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JUSTIFICATION</w:t>
      </w:r>
    </w:p>
    <w:p w14:paraId="16DACA30" w14:textId="762D58BD" w:rsidR="006044AA" w:rsidRPr="002231C8" w:rsidRDefault="00760C11" w:rsidP="00DE2CF3">
      <w:pPr>
        <w:spacing w:after="0" w:line="240" w:lineRule="auto"/>
        <w:jc w:val="both"/>
        <w:rPr>
          <w:color w:val="000000" w:themeColor="text1"/>
          <w:lang w:val="fr-FR"/>
        </w:rPr>
      </w:pPr>
      <w:r w:rsidRPr="002231C8">
        <w:rPr>
          <w:rFonts w:ascii="Calibri" w:hAnsi="Calibri"/>
          <w:color w:val="000000" w:themeColor="text1"/>
          <w:lang w:val="fr-FR"/>
        </w:rPr>
        <w:t>Cette section exposera la justification du code de conduite (CdC), par exemple, la présentation d'un ensemble de lignes directrices volontaires qui énoncent les principes et pratiques que les gouvernements et autres intervenants devraient appliquer pour réduire les pertes et les gaspillages alimentaires afin de promouvoir de façon durable la sécurité alimentaire.</w:t>
      </w:r>
    </w:p>
    <w:p w14:paraId="628B43B1" w14:textId="77777777" w:rsidR="006044AA" w:rsidRPr="002231C8" w:rsidRDefault="006044AA" w:rsidP="00DE2CF3">
      <w:pPr>
        <w:spacing w:after="0" w:line="240" w:lineRule="auto"/>
        <w:jc w:val="both"/>
        <w:rPr>
          <w:color w:val="000000" w:themeColor="text1"/>
          <w:lang w:val="fr-FR"/>
        </w:rPr>
      </w:pPr>
    </w:p>
    <w:p w14:paraId="13B0B63E" w14:textId="7005A578" w:rsidR="00F82F6F" w:rsidRPr="002231C8" w:rsidRDefault="0043082C" w:rsidP="00DE2CF3">
      <w:pPr>
        <w:spacing w:after="0" w:line="240" w:lineRule="auto"/>
        <w:jc w:val="both"/>
        <w:rPr>
          <w:color w:val="000000" w:themeColor="text1"/>
          <w:lang w:val="fr-FR"/>
        </w:rPr>
      </w:pPr>
      <w:r w:rsidRPr="002231C8">
        <w:rPr>
          <w:rFonts w:ascii="Calibri" w:hAnsi="Calibri"/>
          <w:color w:val="000000" w:themeColor="text1"/>
          <w:lang w:val="fr-FR"/>
        </w:rPr>
        <w:t>On y</w:t>
      </w:r>
      <w:r w:rsidR="006C62F7" w:rsidRPr="002231C8">
        <w:rPr>
          <w:rFonts w:ascii="Calibri" w:hAnsi="Calibri"/>
          <w:color w:val="000000" w:themeColor="text1"/>
          <w:lang w:val="fr-FR"/>
        </w:rPr>
        <w:t xml:space="preserve"> définira également la terminologie pertinente, par exemple les termes chaîne d'approvisionnement alimentaire, pertes alimentaires, gaspillage alimentaire.</w:t>
      </w:r>
    </w:p>
    <w:p w14:paraId="7D4C334C" w14:textId="77777777" w:rsidR="009C4C0E" w:rsidRPr="002231C8" w:rsidRDefault="009C4C0E" w:rsidP="00DE2CF3">
      <w:pPr>
        <w:spacing w:after="0" w:line="240" w:lineRule="auto"/>
        <w:jc w:val="both"/>
        <w:rPr>
          <w:color w:val="000000" w:themeColor="text1"/>
          <w:lang w:val="fr-FR"/>
        </w:rPr>
      </w:pPr>
    </w:p>
    <w:p w14:paraId="6F58F573" w14:textId="742FD8FA" w:rsidR="00F82F6F" w:rsidRPr="002231C8" w:rsidRDefault="006C62F7" w:rsidP="00597EF7">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 xml:space="preserve">NATURE, PORTÉE ET PUBLIC CIBLE DU </w:t>
      </w:r>
      <w:r w:rsidR="0043082C" w:rsidRPr="002231C8">
        <w:rPr>
          <w:rFonts w:ascii="Calibri" w:hAnsi="Calibri"/>
          <w:b/>
          <w:color w:val="000000" w:themeColor="text1"/>
          <w:lang w:val="fr-FR"/>
        </w:rPr>
        <w:t>CdC</w:t>
      </w:r>
      <w:r w:rsidR="0043082C" w:rsidRPr="002231C8">
        <w:rPr>
          <w:lang w:val="fr-FR"/>
        </w:rPr>
        <w:t xml:space="preserve"> </w:t>
      </w:r>
    </w:p>
    <w:p w14:paraId="42CD2CF2" w14:textId="1413F1B1" w:rsidR="00A646F2" w:rsidRPr="002231C8" w:rsidRDefault="006C62F7" w:rsidP="006C62F7">
      <w:pPr>
        <w:spacing w:after="120" w:line="240" w:lineRule="auto"/>
        <w:jc w:val="both"/>
        <w:rPr>
          <w:color w:val="000000" w:themeColor="text1"/>
          <w:lang w:val="fr-FR"/>
        </w:rPr>
      </w:pPr>
      <w:r w:rsidRPr="002231C8">
        <w:rPr>
          <w:rFonts w:ascii="Calibri" w:hAnsi="Calibri"/>
          <w:color w:val="000000" w:themeColor="text1"/>
          <w:lang w:val="fr-FR"/>
        </w:rPr>
        <w:t>Cette section expliquera la nature volontaire et non contraignante du CdC et son champ d'application (mondial, régional, national).</w:t>
      </w:r>
      <w:r w:rsidR="00613BFE" w:rsidRPr="002231C8">
        <w:rPr>
          <w:color w:val="000000" w:themeColor="text1"/>
          <w:lang w:val="fr-FR"/>
        </w:rPr>
        <w:t xml:space="preserve"> </w:t>
      </w:r>
      <w:r w:rsidRPr="002231C8">
        <w:rPr>
          <w:rFonts w:ascii="Calibri" w:hAnsi="Calibri"/>
          <w:color w:val="000000" w:themeColor="text1"/>
          <w:lang w:val="fr-FR"/>
        </w:rPr>
        <w:t>On y précisera les liens avec les instruments et les lignes directrices volontaires existants, par exemple</w:t>
      </w:r>
      <w:r w:rsidR="0043082C" w:rsidRPr="002231C8">
        <w:rPr>
          <w:rFonts w:ascii="Calibri" w:hAnsi="Calibri"/>
          <w:color w:val="000000" w:themeColor="text1"/>
          <w:lang w:val="fr-FR"/>
        </w:rPr>
        <w:t>:</w:t>
      </w:r>
      <w:r w:rsidR="00F82F6F" w:rsidRPr="002231C8">
        <w:rPr>
          <w:color w:val="000000" w:themeColor="text1"/>
          <w:lang w:val="fr-FR"/>
        </w:rPr>
        <w:t xml:space="preserve"> </w:t>
      </w:r>
      <w:r w:rsidRPr="002231C8">
        <w:rPr>
          <w:rFonts w:ascii="Calibri" w:hAnsi="Calibri"/>
          <w:color w:val="000000" w:themeColor="text1"/>
          <w:lang w:val="fr-FR"/>
        </w:rPr>
        <w:t>Codex</w:t>
      </w:r>
      <w:r w:rsidR="0043082C" w:rsidRPr="002231C8">
        <w:rPr>
          <w:rFonts w:ascii="Calibri" w:hAnsi="Calibri"/>
          <w:color w:val="000000" w:themeColor="text1"/>
          <w:lang w:val="fr-FR"/>
        </w:rPr>
        <w:t xml:space="preserve">; </w:t>
      </w:r>
      <w:r w:rsidRPr="002231C8">
        <w:rPr>
          <w:rFonts w:ascii="Calibri" w:hAnsi="Calibri"/>
          <w:color w:val="000000" w:themeColor="text1"/>
          <w:lang w:val="fr-FR"/>
        </w:rPr>
        <w:t xml:space="preserve"> Code de conduite pour une pêche responsable</w:t>
      </w:r>
      <w:r w:rsidR="0043082C" w:rsidRPr="002231C8">
        <w:rPr>
          <w:rFonts w:ascii="Calibri" w:hAnsi="Calibri"/>
          <w:color w:val="000000" w:themeColor="text1"/>
          <w:lang w:val="fr-FR"/>
        </w:rPr>
        <w:t xml:space="preserve">; </w:t>
      </w:r>
      <w:r w:rsidRPr="002231C8">
        <w:rPr>
          <w:rFonts w:ascii="Calibri" w:hAnsi="Calibri"/>
          <w:color w:val="000000" w:themeColor="text1"/>
          <w:lang w:val="fr-FR"/>
        </w:rPr>
        <w:t xml:space="preserve"> Droit à l'alimentation</w:t>
      </w:r>
      <w:r w:rsidR="0043082C" w:rsidRPr="002231C8">
        <w:rPr>
          <w:rFonts w:ascii="Calibri" w:hAnsi="Calibri"/>
          <w:color w:val="000000" w:themeColor="text1"/>
          <w:lang w:val="fr-FR"/>
        </w:rPr>
        <w:t xml:space="preserve">; </w:t>
      </w:r>
      <w:r w:rsidRPr="002231C8">
        <w:rPr>
          <w:rFonts w:ascii="Calibri" w:hAnsi="Calibri"/>
          <w:color w:val="000000" w:themeColor="text1"/>
          <w:lang w:val="fr-FR"/>
        </w:rPr>
        <w:t xml:space="preserve"> Code de déontologie du commerce international des denrées alimentaires</w:t>
      </w:r>
      <w:r w:rsidR="0043082C" w:rsidRPr="002231C8">
        <w:rPr>
          <w:rFonts w:ascii="Calibri" w:hAnsi="Calibri"/>
          <w:color w:val="000000" w:themeColor="text1"/>
          <w:lang w:val="fr-FR"/>
        </w:rPr>
        <w:t xml:space="preserve">; </w:t>
      </w:r>
      <w:r w:rsidRPr="002231C8">
        <w:rPr>
          <w:rFonts w:ascii="Calibri" w:hAnsi="Calibri"/>
          <w:color w:val="000000" w:themeColor="text1"/>
          <w:lang w:val="fr-FR"/>
        </w:rPr>
        <w:t xml:space="preserve"> Principes pour un investissement responsable dans l'agriculture et les systèmes alimentaires.</w:t>
      </w:r>
      <w:r w:rsidR="00B61512" w:rsidRPr="002231C8">
        <w:rPr>
          <w:color w:val="000000" w:themeColor="text1"/>
          <w:lang w:val="fr-FR"/>
        </w:rPr>
        <w:t xml:space="preserve"> </w:t>
      </w:r>
    </w:p>
    <w:p w14:paraId="5442169B" w14:textId="47B98DDF" w:rsidR="00AB7B3C" w:rsidRPr="002231C8" w:rsidRDefault="001C55F0" w:rsidP="00DE2CF3">
      <w:pPr>
        <w:spacing w:after="0" w:line="240" w:lineRule="auto"/>
        <w:jc w:val="both"/>
        <w:rPr>
          <w:color w:val="000000" w:themeColor="text1"/>
          <w:lang w:val="fr-FR"/>
        </w:rPr>
      </w:pPr>
      <w:r w:rsidRPr="002231C8">
        <w:rPr>
          <w:rFonts w:ascii="Calibri" w:hAnsi="Calibri"/>
          <w:color w:val="000000" w:themeColor="text1"/>
          <w:lang w:val="fr-FR"/>
        </w:rPr>
        <w:t>Cette section indiquera également le public visé par le CdC, à savoir</w:t>
      </w:r>
      <w:r w:rsidR="00F82F6F" w:rsidRPr="002231C8">
        <w:rPr>
          <w:color w:val="000000" w:themeColor="text1"/>
          <w:lang w:val="fr-FR"/>
        </w:rPr>
        <w:t xml:space="preserve"> </w:t>
      </w:r>
      <w:r w:rsidRPr="002231C8">
        <w:rPr>
          <w:rFonts w:ascii="Calibri" w:hAnsi="Calibri"/>
          <w:color w:val="000000" w:themeColor="text1"/>
          <w:lang w:val="fr-FR"/>
        </w:rPr>
        <w:t>les gouvernements et les décideurs politiques, les organisations sous-régionales, régionales et mondiales, le secteur privé, la société civile et les organisations de consommateurs.</w:t>
      </w:r>
    </w:p>
    <w:p w14:paraId="066A1838" w14:textId="77777777" w:rsidR="00AB7B3C" w:rsidRPr="002231C8" w:rsidRDefault="00AB7B3C" w:rsidP="00DE2CF3">
      <w:pPr>
        <w:spacing w:after="0" w:line="240" w:lineRule="auto"/>
        <w:jc w:val="both"/>
        <w:rPr>
          <w:color w:val="000000" w:themeColor="text1"/>
          <w:lang w:val="fr-FR"/>
        </w:rPr>
      </w:pPr>
    </w:p>
    <w:p w14:paraId="2F2FE301" w14:textId="7A989CFD" w:rsidR="00F82F6F" w:rsidRPr="002231C8" w:rsidRDefault="001C55F0" w:rsidP="00597EF7">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 xml:space="preserve">Objectifs du </w:t>
      </w:r>
      <w:r w:rsidRPr="002231C8">
        <w:rPr>
          <w:rFonts w:ascii="Calibri" w:hAnsi="Calibri"/>
          <w:b/>
          <w:color w:val="000000" w:themeColor="text1"/>
          <w:lang w:val="fr-FR"/>
        </w:rPr>
        <w:t>CdC</w:t>
      </w:r>
    </w:p>
    <w:p w14:paraId="5B245BDA" w14:textId="23671B3C" w:rsidR="00F82F6F" w:rsidRPr="002231C8" w:rsidRDefault="001C55F0" w:rsidP="00DE2CF3">
      <w:pPr>
        <w:spacing w:after="0" w:line="240" w:lineRule="auto"/>
        <w:jc w:val="both"/>
        <w:rPr>
          <w:color w:val="000000" w:themeColor="text1"/>
          <w:lang w:val="fr-FR"/>
        </w:rPr>
      </w:pPr>
      <w:r w:rsidRPr="002231C8">
        <w:rPr>
          <w:rFonts w:ascii="Calibri" w:hAnsi="Calibri"/>
          <w:color w:val="000000" w:themeColor="text1"/>
          <w:lang w:val="fr-FR"/>
        </w:rPr>
        <w:t>Cette section décrira les objectifs du CdC, qui pourraient comprendre ce qui suit:</w:t>
      </w:r>
    </w:p>
    <w:p w14:paraId="1CE4A6C5" w14:textId="7265E869" w:rsidR="00B61512" w:rsidRPr="002231C8" w:rsidRDefault="001C55F0" w:rsidP="00DE2CF3">
      <w:pPr>
        <w:numPr>
          <w:ilvl w:val="0"/>
          <w:numId w:val="21"/>
        </w:numPr>
        <w:spacing w:after="0" w:line="240" w:lineRule="auto"/>
        <w:jc w:val="both"/>
        <w:rPr>
          <w:color w:val="000000" w:themeColor="text1"/>
          <w:lang w:val="fr-FR"/>
        </w:rPr>
      </w:pPr>
      <w:r w:rsidRPr="002231C8">
        <w:rPr>
          <w:rFonts w:ascii="Calibri" w:hAnsi="Calibri"/>
          <w:color w:val="000000" w:themeColor="text1"/>
          <w:lang w:val="fr-FR"/>
        </w:rPr>
        <w:t xml:space="preserve">Servir d'instrument de référence </w:t>
      </w:r>
      <w:r w:rsidR="0043082C" w:rsidRPr="002231C8">
        <w:rPr>
          <w:rFonts w:ascii="Calibri" w:hAnsi="Calibri"/>
          <w:color w:val="000000" w:themeColor="text1"/>
          <w:lang w:val="fr-FR"/>
        </w:rPr>
        <w:t>pour</w:t>
      </w:r>
      <w:r w:rsidRPr="002231C8">
        <w:rPr>
          <w:rFonts w:ascii="Calibri" w:hAnsi="Calibri"/>
          <w:color w:val="000000" w:themeColor="text1"/>
          <w:lang w:val="fr-FR"/>
        </w:rPr>
        <w:t xml:space="preserve"> aider les pays membres à établir ou à améliorer leurs cadres juridiques et institutionnels en matière de prévention, de réduction et de gestion des pertes et d</w:t>
      </w:r>
      <w:r w:rsidR="0043082C" w:rsidRPr="002231C8">
        <w:rPr>
          <w:rFonts w:ascii="Calibri" w:hAnsi="Calibri"/>
          <w:color w:val="000000" w:themeColor="text1"/>
          <w:lang w:val="fr-FR"/>
        </w:rPr>
        <w:t>u</w:t>
      </w:r>
      <w:r w:rsidRPr="002231C8">
        <w:rPr>
          <w:rFonts w:ascii="Calibri" w:hAnsi="Calibri"/>
          <w:color w:val="000000" w:themeColor="text1"/>
          <w:lang w:val="fr-FR"/>
        </w:rPr>
        <w:t xml:space="preserve"> gaspillage alimentaires</w:t>
      </w:r>
      <w:r w:rsidR="0043082C" w:rsidRPr="002231C8">
        <w:rPr>
          <w:rFonts w:ascii="Calibri" w:hAnsi="Calibri"/>
          <w:color w:val="000000" w:themeColor="text1"/>
          <w:lang w:val="fr-FR"/>
        </w:rPr>
        <w:t xml:space="preserve">; </w:t>
      </w:r>
      <w:r w:rsidR="00B61512" w:rsidRPr="002231C8">
        <w:rPr>
          <w:color w:val="000000" w:themeColor="text1"/>
          <w:lang w:val="fr-FR"/>
        </w:rPr>
        <w:t> </w:t>
      </w:r>
    </w:p>
    <w:p w14:paraId="0ADE8E9D" w14:textId="38C43F85" w:rsidR="00F82F6F" w:rsidRPr="002231C8" w:rsidRDefault="00626EBB" w:rsidP="00DE2CF3">
      <w:pPr>
        <w:numPr>
          <w:ilvl w:val="0"/>
          <w:numId w:val="21"/>
        </w:numPr>
        <w:spacing w:after="0" w:line="240" w:lineRule="auto"/>
        <w:jc w:val="both"/>
        <w:rPr>
          <w:color w:val="000000" w:themeColor="text1"/>
          <w:lang w:val="fr-FR"/>
        </w:rPr>
      </w:pPr>
      <w:r w:rsidRPr="002231C8">
        <w:rPr>
          <w:rFonts w:ascii="Calibri" w:hAnsi="Calibri"/>
          <w:color w:val="000000" w:themeColor="text1"/>
          <w:lang w:val="fr-FR"/>
        </w:rPr>
        <w:t>Établir des lignes directrices, conformément aux règles pertinentes du droit international, pour la prévention, la réduction et la gestion des pertes et d</w:t>
      </w:r>
      <w:r w:rsidR="0043082C" w:rsidRPr="002231C8">
        <w:rPr>
          <w:rFonts w:ascii="Calibri" w:hAnsi="Calibri"/>
          <w:color w:val="000000" w:themeColor="text1"/>
          <w:lang w:val="fr-FR"/>
        </w:rPr>
        <w:t>u</w:t>
      </w:r>
      <w:r w:rsidRPr="002231C8">
        <w:rPr>
          <w:rFonts w:ascii="Calibri" w:hAnsi="Calibri"/>
          <w:color w:val="000000" w:themeColor="text1"/>
          <w:lang w:val="fr-FR"/>
        </w:rPr>
        <w:t xml:space="preserve"> gaspillage alimentaires, à la lumière des incidences économiques, sociales, environnementales et nutritionnelles pertinentes</w:t>
      </w:r>
      <w:r w:rsidR="0043082C" w:rsidRPr="002231C8">
        <w:rPr>
          <w:rFonts w:ascii="Calibri" w:hAnsi="Calibri"/>
          <w:color w:val="000000" w:themeColor="text1"/>
          <w:lang w:val="fr-FR"/>
        </w:rPr>
        <w:t xml:space="preserve">; </w:t>
      </w:r>
      <w:r w:rsidR="00F82F6F" w:rsidRPr="002231C8">
        <w:rPr>
          <w:color w:val="000000" w:themeColor="text1"/>
          <w:lang w:val="fr-FR"/>
        </w:rPr>
        <w:t> </w:t>
      </w:r>
    </w:p>
    <w:p w14:paraId="1711D59C" w14:textId="4DFE3D11" w:rsidR="00F82F6F" w:rsidRPr="002231C8" w:rsidRDefault="00626EBB" w:rsidP="00DE2CF3">
      <w:pPr>
        <w:numPr>
          <w:ilvl w:val="0"/>
          <w:numId w:val="21"/>
        </w:numPr>
        <w:spacing w:after="0" w:line="240" w:lineRule="auto"/>
        <w:jc w:val="both"/>
        <w:rPr>
          <w:color w:val="000000" w:themeColor="text1"/>
          <w:lang w:val="fr-FR"/>
        </w:rPr>
      </w:pPr>
      <w:r w:rsidRPr="002231C8">
        <w:rPr>
          <w:rFonts w:ascii="Calibri" w:hAnsi="Calibri"/>
          <w:color w:val="000000" w:themeColor="text1"/>
          <w:lang w:val="fr-FR"/>
        </w:rPr>
        <w:lastRenderedPageBreak/>
        <w:t>Définir des normes de conduite pour toutes les parties prenantes impliquées dans la chaîne d'approvisionnement alimentaire afin de réduire les pertes et le gaspillage alimentaires dans leurs opérations et actions.</w:t>
      </w:r>
    </w:p>
    <w:p w14:paraId="223C7A78" w14:textId="77777777" w:rsidR="00F82F6F" w:rsidRPr="002231C8" w:rsidRDefault="00F82F6F" w:rsidP="00DE2CF3">
      <w:pPr>
        <w:spacing w:after="0" w:line="240" w:lineRule="auto"/>
        <w:jc w:val="both"/>
        <w:rPr>
          <w:color w:val="000000" w:themeColor="text1"/>
          <w:lang w:val="fr-FR"/>
        </w:rPr>
      </w:pPr>
    </w:p>
    <w:p w14:paraId="05331B4C" w14:textId="3E2AC2E0" w:rsidR="00F82F6F" w:rsidRPr="002231C8" w:rsidRDefault="00626EBB" w:rsidP="00597EF7">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 xml:space="preserve">PROCESSUS A SUIVRE DANS L'ÉLABORATION, LA NÉGOCIATION ET L'ADOPTION DU </w:t>
      </w:r>
      <w:r w:rsidR="0009026E" w:rsidRPr="002231C8">
        <w:rPr>
          <w:rFonts w:ascii="Calibri" w:eastAsia="SimSun" w:hAnsi="Calibri"/>
          <w:b/>
          <w:color w:val="000000" w:themeColor="text1"/>
          <w:sz w:val="28"/>
          <w:szCs w:val="28"/>
          <w:lang w:val="fr-FR"/>
        </w:rPr>
        <w:t>CdC</w:t>
      </w:r>
      <w:r w:rsidR="0009026E" w:rsidRPr="002231C8">
        <w:rPr>
          <w:lang w:val="fr-FR"/>
        </w:rPr>
        <w:t xml:space="preserve"> </w:t>
      </w:r>
    </w:p>
    <w:p w14:paraId="14AAF3F3" w14:textId="25D9DA4D" w:rsidR="00D37A3F" w:rsidRPr="002231C8" w:rsidRDefault="00626EBB" w:rsidP="00626EBB">
      <w:pPr>
        <w:spacing w:after="120" w:line="240" w:lineRule="auto"/>
        <w:jc w:val="both"/>
        <w:rPr>
          <w:rFonts w:eastAsia="SimSun"/>
          <w:color w:val="000000" w:themeColor="text1"/>
          <w:lang w:val="fr-FR"/>
        </w:rPr>
      </w:pPr>
      <w:r w:rsidRPr="002231C8">
        <w:rPr>
          <w:rFonts w:ascii="Calibri" w:eastAsia="SimSun" w:hAnsi="Calibri"/>
          <w:color w:val="000000" w:themeColor="text1"/>
          <w:lang w:val="fr-FR"/>
        </w:rPr>
        <w:t>Cette section décrira le processus à suivre pour l'élaboration, la négociation et l'adoption du CdC, par exemple les consultations en ligne, les ateliers de consultation régionaux, la consultation de groupes d'intervenants spécifiques et la présentation au Bureau du COAG.</w:t>
      </w:r>
    </w:p>
    <w:p w14:paraId="7D5D73BC" w14:textId="1CA83D45" w:rsidR="004615DC" w:rsidRPr="002231C8" w:rsidRDefault="0009026E" w:rsidP="00DE2CF3">
      <w:pPr>
        <w:spacing w:after="0" w:line="240" w:lineRule="auto"/>
        <w:jc w:val="both"/>
        <w:rPr>
          <w:color w:val="000000" w:themeColor="text1"/>
          <w:lang w:val="fr-FR"/>
        </w:rPr>
      </w:pPr>
      <w:r w:rsidRPr="002231C8">
        <w:rPr>
          <w:rFonts w:ascii="Calibri" w:hAnsi="Calibri"/>
          <w:color w:val="000000" w:themeColor="text1"/>
          <w:lang w:val="fr-FR"/>
        </w:rPr>
        <w:t>On y expliquera également la manière dont la FAO effectuera le suivi de l'application et de la mise en œuvre du CdC une fois qu'il aura été adopté, la façon dont l'impact sur les pertes et les gaspillages alimentaires sera évalué, et comment la FAO fera rapport au COAG sur les progrès accomplis.</w:t>
      </w:r>
    </w:p>
    <w:p w14:paraId="27F24CD9" w14:textId="77777777" w:rsidR="00012BBC" w:rsidRPr="002231C8" w:rsidRDefault="00012BBC" w:rsidP="00DE2CF3">
      <w:pPr>
        <w:spacing w:after="0" w:line="240" w:lineRule="auto"/>
        <w:jc w:val="both"/>
        <w:rPr>
          <w:color w:val="000000" w:themeColor="text1"/>
          <w:lang w:val="fr-FR"/>
        </w:rPr>
      </w:pPr>
    </w:p>
    <w:p w14:paraId="157ADD61" w14:textId="25312785" w:rsidR="00F82F6F" w:rsidRPr="002231C8" w:rsidRDefault="0009026E" w:rsidP="00342AE2">
      <w:pPr>
        <w:pStyle w:val="ListParagraph"/>
        <w:numPr>
          <w:ilvl w:val="0"/>
          <w:numId w:val="35"/>
        </w:numPr>
        <w:spacing w:after="0" w:line="240" w:lineRule="auto"/>
        <w:jc w:val="both"/>
        <w:rPr>
          <w:b/>
          <w:caps/>
          <w:color w:val="000000" w:themeColor="text1"/>
          <w:sz w:val="28"/>
          <w:lang w:val="fr-FR"/>
        </w:rPr>
      </w:pPr>
      <w:r w:rsidRPr="002231C8">
        <w:rPr>
          <w:rFonts w:ascii="Calibri" w:hAnsi="Calibri"/>
          <w:b/>
          <w:caps/>
          <w:color w:val="000000" w:themeColor="text1"/>
          <w:sz w:val="28"/>
          <w:lang w:val="fr-FR"/>
        </w:rPr>
        <w:t xml:space="preserve">LES PRINCIPES DIRECTEURS ET PRATIQUES DU </w:t>
      </w:r>
      <w:r w:rsidRPr="002231C8">
        <w:rPr>
          <w:rFonts w:ascii="Calibri" w:eastAsia="SimSun" w:hAnsi="Calibri"/>
          <w:b/>
          <w:color w:val="000000" w:themeColor="text1"/>
          <w:sz w:val="28"/>
          <w:szCs w:val="28"/>
          <w:lang w:val="fr-FR"/>
        </w:rPr>
        <w:t>CdC</w:t>
      </w:r>
    </w:p>
    <w:p w14:paraId="258B7CB9" w14:textId="77777777" w:rsidR="00F82F6F" w:rsidRPr="002231C8" w:rsidRDefault="00F82F6F" w:rsidP="00DE2CF3">
      <w:pPr>
        <w:pStyle w:val="ListParagraph"/>
        <w:spacing w:after="0" w:line="240" w:lineRule="auto"/>
        <w:jc w:val="both"/>
        <w:rPr>
          <w:b/>
          <w:color w:val="000000" w:themeColor="text1"/>
          <w:lang w:val="fr-FR"/>
        </w:rPr>
      </w:pPr>
    </w:p>
    <w:p w14:paraId="733C9EAB" w14:textId="3E449328" w:rsidR="00F82F6F" w:rsidRPr="002231C8" w:rsidRDefault="00543F73" w:rsidP="00342AE2">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Principes directeurs généraux</w:t>
      </w:r>
    </w:p>
    <w:p w14:paraId="77A001AD" w14:textId="446157DF" w:rsidR="00F82F6F" w:rsidRPr="002231C8" w:rsidRDefault="00543F73" w:rsidP="00DE2CF3">
      <w:pPr>
        <w:spacing w:after="0" w:line="240" w:lineRule="auto"/>
        <w:jc w:val="both"/>
        <w:rPr>
          <w:color w:val="000000" w:themeColor="text1"/>
          <w:lang w:val="fr-FR"/>
        </w:rPr>
      </w:pPr>
      <w:r w:rsidRPr="002231C8">
        <w:rPr>
          <w:rFonts w:ascii="Calibri" w:hAnsi="Calibri"/>
          <w:color w:val="000000" w:themeColor="text1"/>
          <w:lang w:val="fr-FR"/>
        </w:rPr>
        <w:t>Les principes généraux pourraient notamment être les suivants</w:t>
      </w:r>
      <w:r w:rsidR="0043082C" w:rsidRPr="002231C8">
        <w:rPr>
          <w:rFonts w:ascii="Calibri" w:hAnsi="Calibri"/>
          <w:color w:val="000000" w:themeColor="text1"/>
          <w:lang w:val="fr-FR"/>
        </w:rPr>
        <w:t>:</w:t>
      </w:r>
    </w:p>
    <w:p w14:paraId="506D37EB" w14:textId="75AA4A99" w:rsidR="00F82F6F" w:rsidRPr="002231C8" w:rsidRDefault="00543F73" w:rsidP="00DE2CF3">
      <w:pPr>
        <w:pStyle w:val="ListParagraph"/>
        <w:numPr>
          <w:ilvl w:val="0"/>
          <w:numId w:val="5"/>
        </w:numPr>
        <w:spacing w:after="0" w:line="240" w:lineRule="auto"/>
        <w:jc w:val="both"/>
        <w:rPr>
          <w:color w:val="000000" w:themeColor="text1"/>
          <w:lang w:val="fr-FR"/>
        </w:rPr>
      </w:pPr>
      <w:r w:rsidRPr="002231C8">
        <w:rPr>
          <w:rFonts w:ascii="Calibri" w:hAnsi="Calibri"/>
          <w:color w:val="000000" w:themeColor="text1"/>
          <w:lang w:val="fr-FR"/>
        </w:rPr>
        <w:t xml:space="preserve">Prendre en considération les 3 piliers de la durabilité (sociale, économique et environnementale) pour mener des activités liées au système alimentaire </w:t>
      </w:r>
      <w:r w:rsidR="0043082C" w:rsidRPr="002231C8">
        <w:rPr>
          <w:rFonts w:ascii="Calibri" w:hAnsi="Calibri"/>
          <w:color w:val="000000" w:themeColor="text1"/>
          <w:lang w:val="fr-FR"/>
        </w:rPr>
        <w:t>propres</w:t>
      </w:r>
      <w:r w:rsidRPr="002231C8">
        <w:rPr>
          <w:rFonts w:ascii="Calibri" w:hAnsi="Calibri"/>
          <w:color w:val="000000" w:themeColor="text1"/>
          <w:lang w:val="fr-FR"/>
        </w:rPr>
        <w:t xml:space="preserve"> à réduire au minimum les pertes et le gaspillage alimentaires avec pour objectif final de</w:t>
      </w:r>
      <w:r w:rsidR="0043082C" w:rsidRPr="002231C8">
        <w:rPr>
          <w:rFonts w:ascii="Calibri" w:hAnsi="Calibri"/>
          <w:color w:val="000000" w:themeColor="text1"/>
          <w:lang w:val="fr-FR"/>
        </w:rPr>
        <w:t>:</w:t>
      </w:r>
      <w:r w:rsidR="00F82F6F" w:rsidRPr="002231C8">
        <w:rPr>
          <w:color w:val="000000" w:themeColor="text1"/>
          <w:lang w:val="fr-FR"/>
        </w:rPr>
        <w:t xml:space="preserve"> </w:t>
      </w:r>
      <w:r w:rsidR="00B46370" w:rsidRPr="002231C8">
        <w:rPr>
          <w:rFonts w:ascii="Calibri" w:hAnsi="Calibri"/>
          <w:color w:val="000000" w:themeColor="text1"/>
          <w:lang w:val="fr-FR"/>
        </w:rPr>
        <w:t>Garantir la sécurité alimentaire et nutritionnelle, la conservation des ressources naturelles, y compris la biodiversité, lutter contre la dégradation de l'environnement et, plus largement, contribuer au développement durable et aux ODD.</w:t>
      </w:r>
    </w:p>
    <w:p w14:paraId="090705C5" w14:textId="63FE1BDC" w:rsidR="0052044D" w:rsidRPr="002231C8" w:rsidRDefault="00B46370" w:rsidP="00DE2CF3">
      <w:pPr>
        <w:pStyle w:val="ListParagraph"/>
        <w:numPr>
          <w:ilvl w:val="0"/>
          <w:numId w:val="5"/>
        </w:numPr>
        <w:spacing w:after="0" w:line="240" w:lineRule="auto"/>
        <w:jc w:val="both"/>
        <w:rPr>
          <w:color w:val="000000" w:themeColor="text1"/>
          <w:lang w:val="fr-FR"/>
        </w:rPr>
      </w:pPr>
      <w:r w:rsidRPr="002231C8">
        <w:rPr>
          <w:rFonts w:ascii="Calibri" w:hAnsi="Calibri"/>
          <w:color w:val="000000" w:themeColor="text1"/>
          <w:lang w:val="fr-FR"/>
        </w:rPr>
        <w:t>Adopter une approche hiérarchique dans laquelle la priorité est donnée à la prévention des pertes et d</w:t>
      </w:r>
      <w:r w:rsidR="002D01F4" w:rsidRPr="002231C8">
        <w:rPr>
          <w:rFonts w:ascii="Calibri" w:hAnsi="Calibri"/>
          <w:color w:val="000000" w:themeColor="text1"/>
          <w:lang w:val="fr-FR"/>
        </w:rPr>
        <w:t>u</w:t>
      </w:r>
      <w:r w:rsidRPr="002231C8">
        <w:rPr>
          <w:rFonts w:ascii="Calibri" w:hAnsi="Calibri"/>
          <w:color w:val="000000" w:themeColor="text1"/>
          <w:lang w:val="fr-FR"/>
        </w:rPr>
        <w:t xml:space="preserve"> gaspillage alimentaires à la source.</w:t>
      </w:r>
    </w:p>
    <w:p w14:paraId="6D751069" w14:textId="0F30BA88" w:rsidR="0052044D" w:rsidRPr="002231C8" w:rsidRDefault="00B46370" w:rsidP="00DE2CF3">
      <w:pPr>
        <w:pStyle w:val="ListParagraph"/>
        <w:numPr>
          <w:ilvl w:val="0"/>
          <w:numId w:val="5"/>
        </w:numPr>
        <w:spacing w:after="0" w:line="240" w:lineRule="auto"/>
        <w:jc w:val="both"/>
        <w:rPr>
          <w:color w:val="000000" w:themeColor="text1"/>
          <w:lang w:val="fr-FR"/>
        </w:rPr>
      </w:pPr>
      <w:r w:rsidRPr="002231C8">
        <w:rPr>
          <w:rFonts w:ascii="Calibri" w:hAnsi="Calibri"/>
          <w:color w:val="000000" w:themeColor="text1"/>
          <w:lang w:val="fr-FR"/>
        </w:rPr>
        <w:t xml:space="preserve">Évaluer l'impact des interventions dans la perspective d'un système alimentaire </w:t>
      </w:r>
      <w:r w:rsidR="002D01F4" w:rsidRPr="002231C8">
        <w:rPr>
          <w:rFonts w:ascii="Calibri" w:hAnsi="Calibri"/>
          <w:color w:val="000000" w:themeColor="text1"/>
          <w:lang w:val="fr-FR"/>
        </w:rPr>
        <w:t>susceptible de conduire à</w:t>
      </w:r>
      <w:r w:rsidRPr="002231C8">
        <w:rPr>
          <w:rFonts w:ascii="Calibri" w:hAnsi="Calibri"/>
          <w:color w:val="000000" w:themeColor="text1"/>
          <w:lang w:val="fr-FR"/>
        </w:rPr>
        <w:t xml:space="preserve"> solutions durables </w:t>
      </w:r>
      <w:r w:rsidR="002D01F4" w:rsidRPr="002231C8">
        <w:rPr>
          <w:rFonts w:ascii="Calibri" w:hAnsi="Calibri"/>
          <w:color w:val="000000" w:themeColor="text1"/>
          <w:lang w:val="fr-FR"/>
        </w:rPr>
        <w:t>permettant d’</w:t>
      </w:r>
      <w:r w:rsidRPr="002231C8">
        <w:rPr>
          <w:rFonts w:ascii="Calibri" w:hAnsi="Calibri"/>
          <w:color w:val="000000" w:themeColor="text1"/>
          <w:lang w:val="fr-FR"/>
        </w:rPr>
        <w:t>assurer un approvisionnement suffisant d'aliments sains.</w:t>
      </w:r>
    </w:p>
    <w:p w14:paraId="3F036EAD" w14:textId="5A0B24F0" w:rsidR="00F82F6F" w:rsidRPr="002231C8" w:rsidRDefault="00D808EC" w:rsidP="00DE2CF3">
      <w:pPr>
        <w:pStyle w:val="ListParagraph"/>
        <w:numPr>
          <w:ilvl w:val="0"/>
          <w:numId w:val="5"/>
        </w:numPr>
        <w:spacing w:after="0" w:line="240" w:lineRule="auto"/>
        <w:jc w:val="both"/>
        <w:rPr>
          <w:color w:val="000000" w:themeColor="text1"/>
          <w:lang w:val="fr-FR"/>
        </w:rPr>
      </w:pPr>
      <w:r w:rsidRPr="002231C8">
        <w:rPr>
          <w:rFonts w:ascii="Calibri" w:hAnsi="Calibri"/>
          <w:color w:val="000000" w:themeColor="text1"/>
          <w:lang w:val="fr-FR"/>
        </w:rPr>
        <w:t>Responsabilité du secteur public pour contrôler efficacement les activités liées au système alimentaire et promouvoir ainsi</w:t>
      </w:r>
      <w:r w:rsidR="0043082C" w:rsidRPr="002231C8">
        <w:rPr>
          <w:rFonts w:ascii="Calibri" w:hAnsi="Calibri"/>
          <w:color w:val="000000" w:themeColor="text1"/>
          <w:lang w:val="fr-FR"/>
        </w:rPr>
        <w:t>:</w:t>
      </w:r>
    </w:p>
    <w:p w14:paraId="01B9B74C" w14:textId="39756E61" w:rsidR="00F82F6F" w:rsidRPr="002231C8" w:rsidRDefault="00F82F6F" w:rsidP="00DE2CF3">
      <w:pPr>
        <w:pStyle w:val="ListParagraph"/>
        <w:spacing w:after="0" w:line="240" w:lineRule="auto"/>
        <w:jc w:val="both"/>
        <w:rPr>
          <w:color w:val="000000" w:themeColor="text1"/>
          <w:lang w:val="fr-FR"/>
        </w:rPr>
      </w:pPr>
      <w:r w:rsidRPr="002231C8">
        <w:rPr>
          <w:color w:val="000000" w:themeColor="text1"/>
          <w:lang w:val="fr-FR"/>
        </w:rPr>
        <w:t xml:space="preserve"> - </w:t>
      </w:r>
      <w:r w:rsidR="00D808EC" w:rsidRPr="002231C8">
        <w:rPr>
          <w:rFonts w:ascii="Calibri" w:hAnsi="Calibri"/>
          <w:color w:val="000000" w:themeColor="text1"/>
          <w:lang w:val="fr-FR"/>
        </w:rPr>
        <w:t>la coopération aux échelons sous-régional, régional et mondial afin de promouvoir des pratiques responsables</w:t>
      </w:r>
    </w:p>
    <w:p w14:paraId="4CB986EC" w14:textId="2F6A0889" w:rsidR="00F82F6F" w:rsidRPr="002231C8" w:rsidRDefault="00F82F6F" w:rsidP="00DE2CF3">
      <w:pPr>
        <w:pStyle w:val="ListParagraph"/>
        <w:spacing w:after="0" w:line="240" w:lineRule="auto"/>
        <w:jc w:val="both"/>
        <w:rPr>
          <w:color w:val="000000" w:themeColor="text1"/>
          <w:lang w:val="fr-FR"/>
        </w:rPr>
      </w:pPr>
      <w:r w:rsidRPr="002231C8">
        <w:rPr>
          <w:color w:val="000000" w:themeColor="text1"/>
          <w:lang w:val="fr-FR"/>
        </w:rPr>
        <w:t xml:space="preserve">- </w:t>
      </w:r>
      <w:r w:rsidR="00D808EC" w:rsidRPr="002231C8">
        <w:rPr>
          <w:rFonts w:ascii="Calibri" w:hAnsi="Calibri"/>
          <w:color w:val="000000" w:themeColor="text1"/>
          <w:lang w:val="fr-FR"/>
        </w:rPr>
        <w:t>la consultation, la participation efficace, la collaboration de l'industrie alimentaire et d'autres intervenants</w:t>
      </w:r>
    </w:p>
    <w:p w14:paraId="0479DAF1" w14:textId="3A418212" w:rsidR="00F82F6F" w:rsidRPr="002231C8" w:rsidRDefault="00F82F6F" w:rsidP="00DE2CF3">
      <w:pPr>
        <w:pStyle w:val="ListParagraph"/>
        <w:spacing w:after="0" w:line="240" w:lineRule="auto"/>
        <w:jc w:val="both"/>
        <w:rPr>
          <w:color w:val="000000" w:themeColor="text1"/>
          <w:lang w:val="fr-FR"/>
        </w:rPr>
      </w:pPr>
      <w:r w:rsidRPr="002231C8">
        <w:rPr>
          <w:color w:val="000000" w:themeColor="text1"/>
          <w:lang w:val="fr-FR"/>
        </w:rPr>
        <w:t xml:space="preserve">- </w:t>
      </w:r>
      <w:r w:rsidR="00D808EC" w:rsidRPr="002231C8">
        <w:rPr>
          <w:rFonts w:ascii="Calibri" w:hAnsi="Calibri"/>
          <w:color w:val="000000" w:themeColor="text1"/>
          <w:lang w:val="fr-FR"/>
        </w:rPr>
        <w:t>la sensibilisation aux pratiques responsables par le biais de l'éducation et de la formation, en vue de faciliter la mise en œuvre du Code.</w:t>
      </w:r>
    </w:p>
    <w:p w14:paraId="51D0F371" w14:textId="77777777" w:rsidR="00AB7B3C" w:rsidRPr="002231C8" w:rsidRDefault="00AB7B3C" w:rsidP="00DE2CF3">
      <w:pPr>
        <w:spacing w:after="0" w:line="240" w:lineRule="auto"/>
        <w:jc w:val="both"/>
        <w:rPr>
          <w:color w:val="000000" w:themeColor="text1"/>
          <w:lang w:val="fr-FR"/>
        </w:rPr>
      </w:pPr>
    </w:p>
    <w:p w14:paraId="5818101D" w14:textId="121E53A9" w:rsidR="001D28B2" w:rsidRPr="002231C8" w:rsidRDefault="00D808EC" w:rsidP="00342AE2">
      <w:pPr>
        <w:pStyle w:val="ListParagraph"/>
        <w:numPr>
          <w:ilvl w:val="1"/>
          <w:numId w:val="35"/>
        </w:numPr>
        <w:spacing w:after="0" w:line="240" w:lineRule="auto"/>
        <w:jc w:val="both"/>
        <w:rPr>
          <w:b/>
          <w:caps/>
          <w:color w:val="000000" w:themeColor="text1"/>
          <w:lang w:val="fr-FR"/>
        </w:rPr>
      </w:pPr>
      <w:r w:rsidRPr="002231C8">
        <w:rPr>
          <w:rFonts w:ascii="Calibri" w:hAnsi="Calibri"/>
          <w:b/>
          <w:caps/>
          <w:color w:val="000000" w:themeColor="text1"/>
          <w:lang w:val="fr-FR"/>
        </w:rPr>
        <w:t>PRINCIPES ET PRATIQUES SPÉCIFIQUES</w:t>
      </w:r>
    </w:p>
    <w:p w14:paraId="2E2F0F1D" w14:textId="07A9947E" w:rsidR="007B6B86" w:rsidRPr="002231C8" w:rsidRDefault="007C70AB" w:rsidP="00DE2CF3">
      <w:pPr>
        <w:spacing w:after="0" w:line="240" w:lineRule="auto"/>
        <w:jc w:val="both"/>
        <w:rPr>
          <w:color w:val="000000" w:themeColor="text1"/>
          <w:lang w:val="fr-FR"/>
        </w:rPr>
      </w:pPr>
      <w:r w:rsidRPr="002231C8">
        <w:rPr>
          <w:rFonts w:ascii="Calibri" w:hAnsi="Calibri"/>
          <w:color w:val="000000" w:themeColor="text1"/>
          <w:lang w:val="fr-FR"/>
        </w:rPr>
        <w:t>Cette section expose les principes directeurs et les pratiques spécifiques regroupés dans les catégories suivantes</w:t>
      </w:r>
      <w:r w:rsidR="0043082C" w:rsidRPr="002231C8">
        <w:rPr>
          <w:rFonts w:ascii="Calibri" w:hAnsi="Calibri"/>
          <w:color w:val="000000" w:themeColor="text1"/>
          <w:lang w:val="fr-FR"/>
        </w:rPr>
        <w:t>:</w:t>
      </w:r>
    </w:p>
    <w:p w14:paraId="5E63988F" w14:textId="23A715A8" w:rsidR="00936308" w:rsidRPr="002231C8" w:rsidRDefault="007C70AB" w:rsidP="00936308">
      <w:pPr>
        <w:pStyle w:val="ListParagraph"/>
        <w:numPr>
          <w:ilvl w:val="0"/>
          <w:numId w:val="33"/>
        </w:numPr>
        <w:spacing w:after="0" w:line="240" w:lineRule="auto"/>
        <w:jc w:val="both"/>
        <w:rPr>
          <w:color w:val="000000" w:themeColor="text1"/>
          <w:lang w:val="fr-FR"/>
        </w:rPr>
      </w:pPr>
      <w:r w:rsidRPr="002231C8">
        <w:rPr>
          <w:rFonts w:ascii="Calibri" w:hAnsi="Calibri"/>
          <w:color w:val="000000" w:themeColor="text1"/>
          <w:lang w:val="fr-FR"/>
        </w:rPr>
        <w:t>Prévention et réduction des pertes alimentaires, et prévention et réduction d</w:t>
      </w:r>
      <w:r w:rsidR="002D01F4" w:rsidRPr="002231C8">
        <w:rPr>
          <w:rFonts w:ascii="Calibri" w:hAnsi="Calibri"/>
          <w:color w:val="000000" w:themeColor="text1"/>
          <w:lang w:val="fr-FR"/>
        </w:rPr>
        <w:t>u</w:t>
      </w:r>
      <w:r w:rsidRPr="002231C8">
        <w:rPr>
          <w:rFonts w:ascii="Calibri" w:hAnsi="Calibri"/>
          <w:color w:val="000000" w:themeColor="text1"/>
          <w:lang w:val="fr-FR"/>
        </w:rPr>
        <w:t xml:space="preserve"> gaspillage alimentaire, redistribution des aliments.</w:t>
      </w:r>
    </w:p>
    <w:p w14:paraId="2DE09BAA" w14:textId="52EBEC90" w:rsidR="00936308" w:rsidRPr="002231C8" w:rsidRDefault="0073778D" w:rsidP="00936308">
      <w:pPr>
        <w:pStyle w:val="NormalWeb"/>
        <w:numPr>
          <w:ilvl w:val="0"/>
          <w:numId w:val="33"/>
        </w:numPr>
        <w:spacing w:before="0" w:beforeAutospacing="0" w:after="0" w:afterAutospacing="0"/>
        <w:jc w:val="both"/>
        <w:rPr>
          <w:rFonts w:asciiTheme="minorHAnsi" w:hAnsiTheme="minorHAnsi" w:cstheme="minorBidi"/>
          <w:color w:val="000000" w:themeColor="text1"/>
          <w:sz w:val="22"/>
          <w:szCs w:val="22"/>
          <w:lang w:val="fr-FR" w:eastAsia="en-US"/>
        </w:rPr>
      </w:pPr>
      <w:r w:rsidRPr="002231C8">
        <w:rPr>
          <w:rFonts w:ascii="Calibri" w:hAnsi="Calibri" w:cstheme="minorBidi"/>
          <w:color w:val="000000" w:themeColor="text1"/>
          <w:sz w:val="22"/>
          <w:szCs w:val="22"/>
          <w:lang w:val="fr-FR" w:eastAsia="en-US"/>
        </w:rPr>
        <w:t xml:space="preserve">Aliments pour animaux (à considérer comme reconversion des aliments), ainsi que les utilisations industrielles, les engrais, la digestion anaérobie et le compostage (à considérer comme recyclage </w:t>
      </w:r>
      <w:r w:rsidR="002D01F4" w:rsidRPr="002231C8">
        <w:rPr>
          <w:rFonts w:ascii="Calibri" w:hAnsi="Calibri" w:cstheme="minorBidi"/>
          <w:color w:val="000000" w:themeColor="text1"/>
          <w:sz w:val="22"/>
          <w:szCs w:val="22"/>
          <w:lang w:val="fr-FR" w:eastAsia="en-US"/>
        </w:rPr>
        <w:t>des aliments</w:t>
      </w:r>
      <w:r w:rsidRPr="002231C8">
        <w:rPr>
          <w:rFonts w:ascii="Calibri" w:hAnsi="Calibri" w:cstheme="minorBidi"/>
          <w:color w:val="000000" w:themeColor="text1"/>
          <w:sz w:val="22"/>
          <w:szCs w:val="22"/>
          <w:lang w:val="fr-FR" w:eastAsia="en-US"/>
        </w:rPr>
        <w:t>)</w:t>
      </w:r>
    </w:p>
    <w:p w14:paraId="1CC089F3" w14:textId="3AAE5481" w:rsidR="00936308" w:rsidRPr="002231C8" w:rsidRDefault="0073778D" w:rsidP="00597EF7">
      <w:pPr>
        <w:pStyle w:val="NormalWeb"/>
        <w:numPr>
          <w:ilvl w:val="0"/>
          <w:numId w:val="33"/>
        </w:numPr>
        <w:spacing w:before="0" w:beforeAutospacing="0" w:after="0" w:afterAutospacing="0"/>
        <w:jc w:val="both"/>
        <w:rPr>
          <w:color w:val="000000" w:themeColor="text1"/>
          <w:lang w:val="fr-FR"/>
        </w:rPr>
      </w:pPr>
      <w:r w:rsidRPr="002231C8">
        <w:rPr>
          <w:rFonts w:ascii="Calibri" w:hAnsi="Calibri" w:cstheme="minorBidi"/>
          <w:color w:val="000000" w:themeColor="text1"/>
          <w:sz w:val="22"/>
          <w:szCs w:val="22"/>
          <w:lang w:val="fr-FR" w:eastAsia="en-US"/>
        </w:rPr>
        <w:t>Incinération et enfouissement</w:t>
      </w:r>
      <w:r w:rsidR="002D01F4" w:rsidRPr="002231C8">
        <w:rPr>
          <w:rFonts w:ascii="Calibri" w:hAnsi="Calibri" w:cstheme="minorBidi"/>
          <w:color w:val="000000" w:themeColor="text1"/>
          <w:sz w:val="22"/>
          <w:szCs w:val="22"/>
          <w:lang w:val="fr-FR" w:eastAsia="en-US"/>
        </w:rPr>
        <w:t>, mécanisme de</w:t>
      </w:r>
      <w:r w:rsidRPr="002231C8">
        <w:rPr>
          <w:rFonts w:ascii="Calibri" w:hAnsi="Calibri" w:cstheme="minorBidi"/>
          <w:color w:val="000000" w:themeColor="text1"/>
          <w:sz w:val="22"/>
          <w:szCs w:val="22"/>
          <w:lang w:val="fr-FR" w:eastAsia="en-US"/>
        </w:rPr>
        <w:t xml:space="preserve"> dernier </w:t>
      </w:r>
      <w:r w:rsidR="002D01F4" w:rsidRPr="002231C8">
        <w:rPr>
          <w:rFonts w:ascii="Calibri" w:hAnsi="Calibri" w:cstheme="minorBidi"/>
          <w:color w:val="000000" w:themeColor="text1"/>
          <w:sz w:val="22"/>
          <w:szCs w:val="22"/>
          <w:lang w:val="fr-FR" w:eastAsia="en-US"/>
        </w:rPr>
        <w:t>ressort</w:t>
      </w:r>
      <w:r w:rsidRPr="002231C8">
        <w:rPr>
          <w:rFonts w:ascii="Calibri" w:hAnsi="Calibri" w:cstheme="minorBidi"/>
          <w:color w:val="000000" w:themeColor="text1"/>
          <w:sz w:val="22"/>
          <w:szCs w:val="22"/>
          <w:lang w:val="fr-FR" w:eastAsia="en-US"/>
        </w:rPr>
        <w:t xml:space="preserve"> pour l'élimination des déchets</w:t>
      </w:r>
      <w:r w:rsidR="00936308" w:rsidRPr="002231C8">
        <w:rPr>
          <w:rFonts w:asciiTheme="minorHAnsi" w:hAnsiTheme="minorHAnsi" w:cstheme="minorBidi"/>
          <w:color w:val="000000" w:themeColor="text1"/>
          <w:sz w:val="22"/>
          <w:szCs w:val="22"/>
          <w:lang w:val="fr-FR" w:eastAsia="en-US"/>
        </w:rPr>
        <w:t xml:space="preserve"> </w:t>
      </w:r>
    </w:p>
    <w:p w14:paraId="2178E3CE" w14:textId="77777777" w:rsidR="00936308" w:rsidRPr="002231C8" w:rsidRDefault="00936308" w:rsidP="00597EF7">
      <w:pPr>
        <w:pStyle w:val="NormalWeb"/>
        <w:spacing w:before="0" w:beforeAutospacing="0" w:after="0" w:afterAutospacing="0"/>
        <w:jc w:val="both"/>
        <w:rPr>
          <w:color w:val="000000" w:themeColor="text1"/>
          <w:lang w:val="fr-FR"/>
        </w:rPr>
      </w:pPr>
    </w:p>
    <w:p w14:paraId="35C815FA" w14:textId="43F5F10D" w:rsidR="00936308" w:rsidRPr="002231C8" w:rsidRDefault="003E1EE8" w:rsidP="00597EF7">
      <w:pPr>
        <w:pStyle w:val="NormalWeb"/>
        <w:spacing w:before="0" w:beforeAutospacing="0" w:after="0" w:afterAutospacing="0"/>
        <w:jc w:val="both"/>
        <w:rPr>
          <w:color w:val="000000" w:themeColor="text1"/>
          <w:lang w:val="fr-FR"/>
        </w:rPr>
      </w:pPr>
      <w:r w:rsidRPr="002231C8">
        <w:rPr>
          <w:rFonts w:ascii="Calibri" w:hAnsi="Calibri" w:cstheme="minorBidi"/>
          <w:color w:val="000000" w:themeColor="text1"/>
          <w:sz w:val="22"/>
          <w:szCs w:val="22"/>
          <w:lang w:val="fr-FR" w:eastAsia="en-US"/>
        </w:rPr>
        <w:lastRenderedPageBreak/>
        <w:t>La figure ci-dessous illustre visuellement les catégories susmentionnées formant une structure pyramidale basée sur les principes directeurs les plus souhaitables (en haut) et les moins souhaitables (en bas) pour prévenir, réduire, réutiliser, recycler et éliminer les pertes et le gaspillage alimentaires.</w:t>
      </w:r>
    </w:p>
    <w:p w14:paraId="57FFDDE1" w14:textId="653F43F6" w:rsidR="00D565CB" w:rsidRPr="002231C8" w:rsidRDefault="00FD5745" w:rsidP="00DE2CF3">
      <w:pPr>
        <w:spacing w:after="0" w:line="240" w:lineRule="auto"/>
        <w:jc w:val="both"/>
        <w:rPr>
          <w:color w:val="000000" w:themeColor="text1"/>
          <w:lang w:val="fr-FR"/>
        </w:rPr>
      </w:pPr>
      <w:r>
        <w:rPr>
          <w:noProof/>
          <w:color w:val="000000" w:themeColor="text1"/>
          <w:lang w:val="en-GB" w:eastAsia="zh-CN"/>
        </w:rPr>
        <w:drawing>
          <wp:inline distT="0" distB="0" distL="0" distR="0" wp14:anchorId="63D4E829" wp14:editId="7FB531AA">
            <wp:extent cx="6393180" cy="5208270"/>
            <wp:effectExtent l="0" t="0" r="7620" b="0"/>
            <wp:docPr id="2" name="Picture 2" descr="S:\FSN Forum\DISCUSSIONS\2019\Food Loss and Waste\Photos\FLW_Triangle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9\Food Loss and Waste\Photos\FLW_Triangle_F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180" cy="5208270"/>
                    </a:xfrm>
                    <a:prstGeom prst="rect">
                      <a:avLst/>
                    </a:prstGeom>
                    <a:noFill/>
                    <a:ln>
                      <a:noFill/>
                    </a:ln>
                  </pic:spPr>
                </pic:pic>
              </a:graphicData>
            </a:graphic>
          </wp:inline>
        </w:drawing>
      </w:r>
    </w:p>
    <w:p w14:paraId="0DEFD436" w14:textId="77777777" w:rsidR="004615DC" w:rsidRPr="002231C8" w:rsidRDefault="0052044D" w:rsidP="00597EF7">
      <w:pPr>
        <w:pStyle w:val="NormalWeb"/>
        <w:spacing w:before="0" w:beforeAutospacing="0" w:after="0" w:afterAutospacing="0"/>
        <w:ind w:left="720"/>
        <w:jc w:val="both"/>
        <w:rPr>
          <w:rFonts w:asciiTheme="minorHAnsi" w:hAnsiTheme="minorHAnsi" w:cstheme="minorBidi"/>
          <w:color w:val="000000" w:themeColor="text1"/>
          <w:sz w:val="22"/>
          <w:szCs w:val="22"/>
          <w:lang w:val="fr-FR" w:eastAsia="en-US"/>
        </w:rPr>
      </w:pPr>
      <w:r w:rsidRPr="002231C8">
        <w:rPr>
          <w:rFonts w:asciiTheme="minorHAnsi" w:hAnsiTheme="minorHAnsi" w:cstheme="minorBidi"/>
          <w:color w:val="000000" w:themeColor="text1"/>
          <w:sz w:val="22"/>
          <w:szCs w:val="22"/>
          <w:lang w:val="fr-FR" w:eastAsia="en-US"/>
        </w:rPr>
        <w:t>.</w:t>
      </w:r>
    </w:p>
    <w:p w14:paraId="44ACDC6E" w14:textId="6AD03E1A" w:rsidR="00352DAF" w:rsidRPr="002231C8" w:rsidRDefault="003E1EE8" w:rsidP="00597EF7">
      <w:pPr>
        <w:pStyle w:val="ListParagraph"/>
        <w:numPr>
          <w:ilvl w:val="0"/>
          <w:numId w:val="37"/>
        </w:numPr>
        <w:spacing w:after="0" w:line="240" w:lineRule="auto"/>
        <w:jc w:val="both"/>
        <w:rPr>
          <w:color w:val="000000" w:themeColor="text1"/>
          <w:lang w:val="fr-FR"/>
        </w:rPr>
      </w:pPr>
      <w:r w:rsidRPr="00FD5745">
        <w:rPr>
          <w:rFonts w:ascii="Calibri" w:hAnsi="Calibri"/>
          <w:color w:val="000000" w:themeColor="text1"/>
          <w:lang w:val="fr-FR"/>
        </w:rPr>
        <w:t>Outre</w:t>
      </w:r>
      <w:r w:rsidRPr="002231C8">
        <w:rPr>
          <w:rFonts w:ascii="Calibri" w:hAnsi="Calibri"/>
          <w:color w:val="000000" w:themeColor="text1"/>
          <w:lang w:val="fr-FR"/>
        </w:rPr>
        <w:t xml:space="preserve"> les catégories susmentionnées, des questions transversales relatives aux pertes et au gaspillage alimentaires sont également prises en considération.</w:t>
      </w:r>
    </w:p>
    <w:p w14:paraId="3691465F" w14:textId="77777777" w:rsidR="00BE65F9" w:rsidRPr="002231C8" w:rsidRDefault="00BE65F9" w:rsidP="00DE2CF3">
      <w:pPr>
        <w:spacing w:after="0" w:line="240" w:lineRule="auto"/>
        <w:jc w:val="both"/>
        <w:rPr>
          <w:color w:val="000000" w:themeColor="text1"/>
          <w:lang w:val="fr-FR"/>
        </w:rPr>
      </w:pPr>
    </w:p>
    <w:p w14:paraId="7E457F41" w14:textId="274976E1" w:rsidR="001C0BA2" w:rsidRPr="002231C8" w:rsidRDefault="003E1EE8" w:rsidP="00342AE2">
      <w:pPr>
        <w:pStyle w:val="ListParagraph"/>
        <w:numPr>
          <w:ilvl w:val="2"/>
          <w:numId w:val="35"/>
        </w:numPr>
        <w:spacing w:after="0" w:line="240" w:lineRule="auto"/>
        <w:jc w:val="both"/>
        <w:rPr>
          <w:b/>
          <w:caps/>
          <w:color w:val="000000" w:themeColor="text1"/>
          <w:lang w:val="fr-FR"/>
        </w:rPr>
      </w:pPr>
      <w:r w:rsidRPr="002231C8">
        <w:rPr>
          <w:rFonts w:ascii="Calibri" w:hAnsi="Calibri"/>
          <w:b/>
          <w:caps/>
          <w:color w:val="000000" w:themeColor="text1"/>
          <w:lang w:val="fr-FR"/>
        </w:rPr>
        <w:t>prÉvention et rÉduction des pertes et du gaspillage alimentaires</w:t>
      </w:r>
    </w:p>
    <w:p w14:paraId="4B2FCB29" w14:textId="77777777" w:rsidR="001C0BA2" w:rsidRPr="002231C8" w:rsidRDefault="001C0BA2" w:rsidP="00DE2CF3">
      <w:pPr>
        <w:spacing w:after="0" w:line="240" w:lineRule="auto"/>
        <w:jc w:val="both"/>
        <w:rPr>
          <w:color w:val="000000" w:themeColor="text1"/>
          <w:lang w:val="fr-FR"/>
        </w:rPr>
      </w:pPr>
    </w:p>
    <w:p w14:paraId="0391C920" w14:textId="63D98118" w:rsidR="00352DAF" w:rsidRPr="002231C8" w:rsidRDefault="003E1EE8" w:rsidP="00DE2CF3">
      <w:pPr>
        <w:spacing w:after="0" w:line="240" w:lineRule="auto"/>
        <w:jc w:val="center"/>
        <w:rPr>
          <w:b/>
          <w:color w:val="000000" w:themeColor="text1"/>
          <w:lang w:val="fr-FR"/>
        </w:rPr>
      </w:pPr>
      <w:r w:rsidRPr="002231C8">
        <w:rPr>
          <w:rFonts w:ascii="Calibri" w:hAnsi="Calibri"/>
          <w:b/>
          <w:color w:val="000000" w:themeColor="text1"/>
          <w:lang w:val="fr-FR"/>
        </w:rPr>
        <w:t>2.2.1(a) PRÉVENTION ET RÉDUCTION DES PERTES ALIMENTAIRES</w:t>
      </w:r>
    </w:p>
    <w:p w14:paraId="0ADD9351" w14:textId="77777777" w:rsidR="00D71E70" w:rsidRPr="002231C8" w:rsidRDefault="00D71E70" w:rsidP="00DE2CF3">
      <w:pPr>
        <w:pStyle w:val="NormalWeb"/>
        <w:spacing w:before="0" w:beforeAutospacing="0" w:after="0" w:afterAutospacing="0"/>
        <w:jc w:val="both"/>
        <w:rPr>
          <w:rFonts w:asciiTheme="minorHAnsi" w:hAnsiTheme="minorHAnsi" w:cs="Arial"/>
          <w:color w:val="000000" w:themeColor="text1"/>
          <w:sz w:val="22"/>
          <w:szCs w:val="22"/>
          <w:lang w:val="fr-FR" w:eastAsia="en-US"/>
        </w:rPr>
      </w:pPr>
    </w:p>
    <w:p w14:paraId="716930DC" w14:textId="1AA96D2B" w:rsidR="00573B4F" w:rsidRPr="002231C8" w:rsidRDefault="003E1EE8" w:rsidP="00DE2CF3">
      <w:pPr>
        <w:pStyle w:val="NormalWeb"/>
        <w:spacing w:before="0" w:beforeAutospacing="0" w:after="0" w:afterAutospacing="0"/>
        <w:jc w:val="both"/>
        <w:rPr>
          <w:rFonts w:asciiTheme="minorHAnsi" w:hAnsiTheme="minorHAnsi" w:cs="Arial"/>
          <w:color w:val="000000" w:themeColor="text1"/>
          <w:sz w:val="22"/>
          <w:szCs w:val="22"/>
          <w:lang w:val="fr-FR" w:eastAsia="en-US"/>
        </w:rPr>
      </w:pPr>
      <w:r w:rsidRPr="002231C8">
        <w:rPr>
          <w:rFonts w:ascii="Calibri" w:hAnsi="Calibri" w:cs="Arial"/>
          <w:color w:val="000000" w:themeColor="text1"/>
          <w:sz w:val="22"/>
          <w:szCs w:val="22"/>
          <w:lang w:val="fr-FR" w:eastAsia="en-US"/>
        </w:rPr>
        <w:t>Cette section décrira les principes directeurs et les mesures applicables à chacune des étapes de la chaîne d'approvisionnement alimentaire depuis la production primaire jusqu'à la vente au détail.</w:t>
      </w:r>
    </w:p>
    <w:p w14:paraId="6B846F17" w14:textId="77777777" w:rsidR="002A2845" w:rsidRPr="002231C8" w:rsidRDefault="002A2845" w:rsidP="00DE2CF3">
      <w:pPr>
        <w:spacing w:after="0" w:line="240" w:lineRule="auto"/>
        <w:jc w:val="both"/>
        <w:rPr>
          <w:color w:val="000000" w:themeColor="text1"/>
          <w:lang w:val="fr-FR"/>
        </w:rPr>
      </w:pPr>
    </w:p>
    <w:p w14:paraId="52A6B945" w14:textId="435AFC8A" w:rsidR="001D28B2" w:rsidRPr="002231C8" w:rsidRDefault="00790A5D" w:rsidP="00DE2CF3">
      <w:pPr>
        <w:spacing w:after="0" w:line="240" w:lineRule="auto"/>
        <w:jc w:val="both"/>
        <w:rPr>
          <w:b/>
          <w:i/>
          <w:color w:val="000000" w:themeColor="text1"/>
          <w:lang w:val="fr-FR"/>
        </w:rPr>
      </w:pPr>
      <w:r w:rsidRPr="002231C8">
        <w:rPr>
          <w:b/>
          <w:i/>
          <w:color w:val="000000" w:themeColor="text1"/>
          <w:lang w:val="fr-FR"/>
        </w:rPr>
        <w:t xml:space="preserve"> </w:t>
      </w:r>
      <w:r w:rsidR="00D24E99" w:rsidRPr="002231C8">
        <w:rPr>
          <w:rFonts w:ascii="Calibri" w:hAnsi="Calibri"/>
          <w:b/>
          <w:i/>
          <w:color w:val="000000" w:themeColor="text1"/>
          <w:lang w:val="fr-FR"/>
        </w:rPr>
        <w:t>Production primaire, récolte et manutention post récolte</w:t>
      </w:r>
    </w:p>
    <w:p w14:paraId="611E65E7" w14:textId="383377ED" w:rsidR="003E2419" w:rsidRPr="002231C8" w:rsidRDefault="00D24E99"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lastRenderedPageBreak/>
        <w:t>Cette section énonce les principes directeurs et les mesures à mettre en œuvre par les États, les producteurs (y compris les agriculteurs, les éleveurs, les pêcheurs) et les organisations de producteurs pour prévenir et réduire les pertes alimentaires au niveau de la production primaire/récolte.</w:t>
      </w:r>
    </w:p>
    <w:p w14:paraId="663846F3" w14:textId="77777777" w:rsidR="00012BBC" w:rsidRPr="002231C8" w:rsidRDefault="00012BBC" w:rsidP="00DE2CF3">
      <w:pPr>
        <w:spacing w:after="0" w:line="240" w:lineRule="auto"/>
        <w:jc w:val="both"/>
        <w:rPr>
          <w:rFonts w:cs="Arial"/>
          <w:color w:val="000000" w:themeColor="text1"/>
          <w:lang w:val="fr-FR"/>
        </w:rPr>
      </w:pPr>
    </w:p>
    <w:p w14:paraId="1806D808" w14:textId="5BB3BA01" w:rsidR="00790A5D" w:rsidRPr="002231C8" w:rsidRDefault="00D24E99"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États</w:t>
      </w:r>
      <w:r w:rsidR="0043082C" w:rsidRPr="002231C8">
        <w:rPr>
          <w:rFonts w:ascii="Calibri" w:hAnsi="Calibri"/>
          <w:color w:val="000000" w:themeColor="text1"/>
          <w:lang w:val="fr-FR"/>
        </w:rPr>
        <w:t>:</w:t>
      </w:r>
      <w:r w:rsidR="00790A5D" w:rsidRPr="002231C8">
        <w:rPr>
          <w:color w:val="000000" w:themeColor="text1"/>
          <w:lang w:val="fr-FR"/>
        </w:rPr>
        <w:t xml:space="preserve"> </w:t>
      </w:r>
    </w:p>
    <w:p w14:paraId="599A7921" w14:textId="0FE26219" w:rsidR="001F18EB" w:rsidRPr="002231C8" w:rsidRDefault="00AC369E" w:rsidP="00DE2CF3">
      <w:pPr>
        <w:pStyle w:val="ListParagraph"/>
        <w:numPr>
          <w:ilvl w:val="0"/>
          <w:numId w:val="27"/>
        </w:numPr>
        <w:spacing w:after="0" w:line="240" w:lineRule="auto"/>
        <w:jc w:val="both"/>
        <w:rPr>
          <w:color w:val="000000" w:themeColor="text1"/>
          <w:lang w:val="fr-FR"/>
        </w:rPr>
      </w:pPr>
      <w:r w:rsidRPr="002231C8">
        <w:rPr>
          <w:rFonts w:ascii="Calibri" w:hAnsi="Calibri"/>
          <w:color w:val="000000" w:themeColor="text1"/>
          <w:lang w:val="fr-FR"/>
        </w:rPr>
        <w:t>Garantir la mise en place d'un cadre juridique et administratif efficace pour soutenir les organisations d'agriculteurs et promouvoir les accords contractuels entre les producteurs et les marchés.</w:t>
      </w:r>
    </w:p>
    <w:p w14:paraId="1625D91B" w14:textId="77777777" w:rsidR="00A646F2" w:rsidRPr="002231C8" w:rsidRDefault="00A646F2" w:rsidP="00DE2CF3">
      <w:pPr>
        <w:spacing w:after="0" w:line="240" w:lineRule="auto"/>
        <w:jc w:val="both"/>
        <w:rPr>
          <w:color w:val="000000" w:themeColor="text1"/>
          <w:lang w:val="fr-FR"/>
        </w:rPr>
      </w:pPr>
    </w:p>
    <w:p w14:paraId="4506ACC9" w14:textId="3EBF1F0F" w:rsidR="00790A5D" w:rsidRPr="002231C8" w:rsidRDefault="00AC369E"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agriculteurs, des éleveurs, des pêcheurs</w:t>
      </w:r>
      <w:r w:rsidR="0043082C" w:rsidRPr="002231C8">
        <w:rPr>
          <w:rFonts w:ascii="Calibri" w:hAnsi="Calibri"/>
          <w:color w:val="000000" w:themeColor="text1"/>
          <w:lang w:val="fr-FR"/>
        </w:rPr>
        <w:t>:</w:t>
      </w:r>
    </w:p>
    <w:p w14:paraId="2C1F7BE7" w14:textId="66A33674" w:rsidR="001D28B2" w:rsidRPr="002231C8" w:rsidRDefault="00E93E05" w:rsidP="00DE2CF3">
      <w:pPr>
        <w:pStyle w:val="ListParagraph"/>
        <w:numPr>
          <w:ilvl w:val="0"/>
          <w:numId w:val="28"/>
        </w:numPr>
        <w:spacing w:after="0" w:line="240" w:lineRule="auto"/>
        <w:jc w:val="both"/>
        <w:rPr>
          <w:color w:val="000000" w:themeColor="text1"/>
          <w:lang w:val="fr-FR"/>
        </w:rPr>
      </w:pPr>
      <w:r w:rsidRPr="002231C8">
        <w:rPr>
          <w:rFonts w:ascii="Calibri" w:hAnsi="Calibri"/>
          <w:color w:val="000000" w:themeColor="text1"/>
          <w:lang w:val="fr-FR"/>
        </w:rPr>
        <w:t>Adopter de bonnes pratiques telles que l'utilisation de variétés appropriées qui répondent aux besoins du marché cible (cas des cultures), une récolte, une manutention post-récolte et des protocoles de traitement adéquats.</w:t>
      </w:r>
    </w:p>
    <w:p w14:paraId="4EE12170" w14:textId="77777777" w:rsidR="007B6B86" w:rsidRPr="002231C8" w:rsidRDefault="007B6B86" w:rsidP="00DE2CF3">
      <w:pPr>
        <w:spacing w:after="0" w:line="240" w:lineRule="auto"/>
        <w:jc w:val="both"/>
        <w:rPr>
          <w:color w:val="000000" w:themeColor="text1"/>
          <w:lang w:val="fr-FR"/>
        </w:rPr>
      </w:pPr>
    </w:p>
    <w:p w14:paraId="2DCC9B55" w14:textId="4E1D4C56" w:rsidR="001D28B2" w:rsidRPr="002231C8" w:rsidRDefault="00E93E05" w:rsidP="00DE2CF3">
      <w:pPr>
        <w:spacing w:after="0" w:line="240" w:lineRule="auto"/>
        <w:jc w:val="both"/>
        <w:rPr>
          <w:b/>
          <w:i/>
          <w:color w:val="000000" w:themeColor="text1"/>
          <w:lang w:val="fr-FR"/>
        </w:rPr>
      </w:pPr>
      <w:r w:rsidRPr="002231C8">
        <w:rPr>
          <w:rFonts w:ascii="Calibri" w:hAnsi="Calibri"/>
          <w:b/>
          <w:i/>
          <w:color w:val="000000" w:themeColor="text1"/>
          <w:lang w:val="fr-FR"/>
        </w:rPr>
        <w:t>Tra</w:t>
      </w:r>
      <w:r w:rsidR="00DB7797" w:rsidRPr="002231C8">
        <w:rPr>
          <w:rFonts w:ascii="Calibri" w:hAnsi="Calibri"/>
          <w:b/>
          <w:i/>
          <w:color w:val="000000" w:themeColor="text1"/>
          <w:lang w:val="fr-FR"/>
        </w:rPr>
        <w:t>nsformation</w:t>
      </w:r>
    </w:p>
    <w:p w14:paraId="1D6FD6F6" w14:textId="2539FE31" w:rsidR="003E2419" w:rsidRPr="002231C8" w:rsidRDefault="00E93E05"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Cette section énonce les principes directeurs et </w:t>
      </w:r>
      <w:r w:rsidR="00DB7797" w:rsidRPr="002231C8">
        <w:rPr>
          <w:rFonts w:ascii="Calibri" w:hAnsi="Calibri" w:cs="Arial"/>
          <w:color w:val="000000" w:themeColor="text1"/>
          <w:lang w:val="fr-FR"/>
        </w:rPr>
        <w:t>les mesures à mettre en œuvre de la part des États, des transformateurs (y compris les PME, les grandes entreprises, les sociétés multinationales) et des associations professionnelles pour prévenir et réduire les pertes alimentaires au niveau de la transformation</w:t>
      </w:r>
      <w:r w:rsidRPr="002231C8">
        <w:rPr>
          <w:rFonts w:ascii="Calibri" w:hAnsi="Calibri" w:cs="Arial"/>
          <w:color w:val="000000" w:themeColor="text1"/>
          <w:lang w:val="fr-FR"/>
        </w:rPr>
        <w:t>.</w:t>
      </w:r>
    </w:p>
    <w:p w14:paraId="66964EFE" w14:textId="77777777" w:rsidR="00012BBC" w:rsidRPr="002231C8" w:rsidRDefault="00012BBC" w:rsidP="00DE2CF3">
      <w:pPr>
        <w:spacing w:after="0" w:line="240" w:lineRule="auto"/>
        <w:jc w:val="both"/>
        <w:rPr>
          <w:rFonts w:cs="Arial"/>
          <w:color w:val="000000" w:themeColor="text1"/>
          <w:lang w:val="fr-FR"/>
        </w:rPr>
      </w:pPr>
    </w:p>
    <w:p w14:paraId="2F6145E2" w14:textId="52836DBB" w:rsidR="00790A5D" w:rsidRPr="002231C8" w:rsidRDefault="00DB7797"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États</w:t>
      </w:r>
      <w:r w:rsidR="0043082C" w:rsidRPr="002231C8">
        <w:rPr>
          <w:rFonts w:ascii="Calibri" w:hAnsi="Calibri"/>
          <w:color w:val="000000" w:themeColor="text1"/>
          <w:lang w:val="fr-FR"/>
        </w:rPr>
        <w:t>:</w:t>
      </w:r>
      <w:r w:rsidR="001D28B2" w:rsidRPr="002231C8">
        <w:rPr>
          <w:color w:val="000000" w:themeColor="text1"/>
          <w:lang w:val="fr-FR"/>
        </w:rPr>
        <w:t xml:space="preserve"> </w:t>
      </w:r>
    </w:p>
    <w:p w14:paraId="41C2C040" w14:textId="764BF4A8" w:rsidR="00676C02" w:rsidRPr="002231C8" w:rsidRDefault="00DB7797"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 Établir et assurer la mise en place de normes de sécurité et de qualité, et tenir compte des effets environnementaux liés aux activités de transformation dans l'élaboration des règlements et des politiques.</w:t>
      </w:r>
    </w:p>
    <w:p w14:paraId="67562639" w14:textId="77777777" w:rsidR="00850EC0" w:rsidRPr="002231C8" w:rsidRDefault="00850EC0" w:rsidP="00DE2CF3">
      <w:pPr>
        <w:pStyle w:val="ListParagraph"/>
        <w:spacing w:after="0" w:line="240" w:lineRule="auto"/>
        <w:jc w:val="both"/>
        <w:rPr>
          <w:color w:val="000000" w:themeColor="text1"/>
          <w:lang w:val="fr-FR"/>
        </w:rPr>
      </w:pPr>
    </w:p>
    <w:p w14:paraId="6F0543C7" w14:textId="788AAB7D" w:rsidR="00676C02" w:rsidRPr="002231C8" w:rsidRDefault="00DB7797"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transformateurs:</w:t>
      </w:r>
      <w:r w:rsidR="001D28B2" w:rsidRPr="002231C8">
        <w:rPr>
          <w:color w:val="000000" w:themeColor="text1"/>
          <w:lang w:val="fr-FR"/>
        </w:rPr>
        <w:t xml:space="preserve"> </w:t>
      </w:r>
    </w:p>
    <w:p w14:paraId="380618C9" w14:textId="571022A0" w:rsidR="007D5E20" w:rsidRPr="002231C8" w:rsidRDefault="00DB7797" w:rsidP="00D71E70">
      <w:pPr>
        <w:spacing w:after="0" w:line="240" w:lineRule="auto"/>
        <w:ind w:left="360"/>
        <w:jc w:val="both"/>
        <w:rPr>
          <w:color w:val="000000" w:themeColor="text1"/>
          <w:lang w:val="fr-FR"/>
        </w:rPr>
      </w:pPr>
      <w:r w:rsidRPr="002231C8">
        <w:rPr>
          <w:rFonts w:ascii="Calibri" w:hAnsi="Calibri"/>
          <w:color w:val="000000" w:themeColor="text1"/>
          <w:lang w:val="fr-FR"/>
        </w:rPr>
        <w:t>Appréhender les réglementations en matière de qualité et de sécurité et renforcer les capacités en matière de bonnes pratiques (bonnes pratiques de manipulation, de fabrication et de conditionnement) répondant aux exigences du marché.</w:t>
      </w:r>
    </w:p>
    <w:p w14:paraId="5CF1BBA6" w14:textId="77777777" w:rsidR="006A7F7D" w:rsidRPr="002231C8" w:rsidRDefault="006A7F7D" w:rsidP="00DE2CF3">
      <w:pPr>
        <w:pStyle w:val="ListParagraph"/>
        <w:spacing w:after="0" w:line="240" w:lineRule="auto"/>
        <w:jc w:val="both"/>
        <w:rPr>
          <w:color w:val="000000" w:themeColor="text1"/>
          <w:lang w:val="fr-FR"/>
        </w:rPr>
      </w:pPr>
    </w:p>
    <w:p w14:paraId="40B8A6F9" w14:textId="382B9742" w:rsidR="0034318F" w:rsidRPr="002231C8" w:rsidRDefault="00DB7797"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associations professionnelles</w:t>
      </w:r>
      <w:r w:rsidR="0043082C" w:rsidRPr="002231C8">
        <w:rPr>
          <w:rFonts w:ascii="Calibri" w:hAnsi="Calibri"/>
          <w:color w:val="000000" w:themeColor="text1"/>
          <w:lang w:val="fr-FR"/>
        </w:rPr>
        <w:t>:</w:t>
      </w:r>
    </w:p>
    <w:p w14:paraId="06EA65DE" w14:textId="69A17B31" w:rsidR="0034318F" w:rsidRPr="002231C8" w:rsidRDefault="00F413BB" w:rsidP="00DE2CF3">
      <w:pPr>
        <w:pStyle w:val="ListParagraph"/>
        <w:numPr>
          <w:ilvl w:val="0"/>
          <w:numId w:val="11"/>
        </w:numPr>
        <w:spacing w:after="0" w:line="240" w:lineRule="auto"/>
        <w:ind w:left="714" w:hanging="357"/>
        <w:jc w:val="both"/>
        <w:rPr>
          <w:color w:val="000000" w:themeColor="text1"/>
          <w:lang w:val="fr-FR"/>
        </w:rPr>
      </w:pPr>
      <w:r w:rsidRPr="002231C8">
        <w:rPr>
          <w:rFonts w:ascii="Calibri" w:hAnsi="Calibri"/>
          <w:color w:val="000000" w:themeColor="text1"/>
          <w:lang w:val="fr-FR"/>
        </w:rPr>
        <w:t>Faciliter la participation des petits transformateurs aux pourparlers sur les politiques relatives aux pertes et au gaspillage alimentaires.</w:t>
      </w:r>
    </w:p>
    <w:p w14:paraId="6952AD18" w14:textId="77777777" w:rsidR="0034318F" w:rsidRPr="002231C8" w:rsidRDefault="0034318F" w:rsidP="00DE2CF3">
      <w:pPr>
        <w:spacing w:after="0" w:line="240" w:lineRule="auto"/>
        <w:jc w:val="both"/>
        <w:rPr>
          <w:color w:val="000000" w:themeColor="text1"/>
          <w:lang w:val="fr-FR"/>
        </w:rPr>
      </w:pPr>
    </w:p>
    <w:p w14:paraId="23C75B72" w14:textId="1C931EC5" w:rsidR="001D28B2" w:rsidRPr="002231C8" w:rsidRDefault="00F413BB" w:rsidP="00DE2CF3">
      <w:pPr>
        <w:spacing w:after="0" w:line="240" w:lineRule="auto"/>
        <w:jc w:val="both"/>
        <w:rPr>
          <w:b/>
          <w:i/>
          <w:color w:val="000000" w:themeColor="text1"/>
          <w:lang w:val="fr-FR"/>
        </w:rPr>
      </w:pPr>
      <w:r w:rsidRPr="002231C8">
        <w:rPr>
          <w:rFonts w:ascii="Calibri" w:hAnsi="Calibri"/>
          <w:b/>
          <w:i/>
          <w:color w:val="000000" w:themeColor="text1"/>
          <w:lang w:val="fr-FR"/>
        </w:rPr>
        <w:t>Distribution</w:t>
      </w:r>
    </w:p>
    <w:p w14:paraId="320BE335" w14:textId="69E62F88" w:rsidR="001428E9" w:rsidRPr="002231C8" w:rsidRDefault="00F413BB"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t>Cette section énonce les principes directeurs et les mesures à mettre en œuvre de la part des États, des distributeurs/intervenants de la chaîne d’approvisionnement et des associations professionnelles pour prévenir et réduire les pertes alimentaires au niveau de la distribution.</w:t>
      </w:r>
    </w:p>
    <w:p w14:paraId="0D1823FA" w14:textId="77777777" w:rsidR="00012BBC" w:rsidRPr="002231C8" w:rsidRDefault="00012BBC" w:rsidP="00DE2CF3">
      <w:pPr>
        <w:spacing w:after="0" w:line="240" w:lineRule="auto"/>
        <w:jc w:val="both"/>
        <w:rPr>
          <w:rFonts w:cs="Arial"/>
          <w:color w:val="000000" w:themeColor="text1"/>
          <w:lang w:val="fr-FR"/>
        </w:rPr>
      </w:pPr>
    </w:p>
    <w:p w14:paraId="7228D860" w14:textId="56D94E62" w:rsidR="003B72E9" w:rsidRPr="002231C8" w:rsidRDefault="00F413BB"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États</w:t>
      </w:r>
      <w:r w:rsidR="0043082C" w:rsidRPr="002231C8">
        <w:rPr>
          <w:rFonts w:ascii="Calibri" w:hAnsi="Calibri"/>
          <w:color w:val="000000" w:themeColor="text1"/>
          <w:lang w:val="fr-FR"/>
        </w:rPr>
        <w:t>:</w:t>
      </w:r>
    </w:p>
    <w:p w14:paraId="2401E1AC" w14:textId="0622FFB6" w:rsidR="003B72E9" w:rsidRPr="002231C8" w:rsidRDefault="004E6536" w:rsidP="00DE2CF3">
      <w:pPr>
        <w:numPr>
          <w:ilvl w:val="0"/>
          <w:numId w:val="11"/>
        </w:numPr>
        <w:spacing w:after="0" w:line="240" w:lineRule="auto"/>
        <w:jc w:val="both"/>
        <w:rPr>
          <w:color w:val="000000" w:themeColor="text1"/>
          <w:lang w:val="fr-FR"/>
        </w:rPr>
      </w:pPr>
      <w:r w:rsidRPr="002231C8">
        <w:rPr>
          <w:rFonts w:ascii="Calibri" w:hAnsi="Calibri"/>
          <w:color w:val="000000" w:themeColor="text1"/>
          <w:lang w:val="fr-FR"/>
        </w:rPr>
        <w:t>Encourager</w:t>
      </w:r>
      <w:r w:rsidR="00F413BB" w:rsidRPr="002231C8">
        <w:rPr>
          <w:rFonts w:ascii="Calibri" w:hAnsi="Calibri"/>
          <w:color w:val="000000" w:themeColor="text1"/>
          <w:lang w:val="fr-FR"/>
        </w:rPr>
        <w:t xml:space="preserve"> les associations et coopératives de produits de base </w:t>
      </w:r>
      <w:r w:rsidRPr="002231C8">
        <w:rPr>
          <w:rFonts w:ascii="Calibri" w:hAnsi="Calibri"/>
          <w:color w:val="000000" w:themeColor="text1"/>
          <w:lang w:val="fr-FR"/>
        </w:rPr>
        <w:t>à améliorer</w:t>
      </w:r>
      <w:r w:rsidR="00F413BB" w:rsidRPr="002231C8">
        <w:rPr>
          <w:rFonts w:ascii="Calibri" w:hAnsi="Calibri"/>
          <w:color w:val="000000" w:themeColor="text1"/>
          <w:lang w:val="fr-FR"/>
        </w:rPr>
        <w:t xml:space="preserve"> leur efficacité opérationnelle et fournir l'infrastructure nécessaire pour appuyer les opérations logistiques</w:t>
      </w:r>
    </w:p>
    <w:p w14:paraId="773B54A1" w14:textId="77777777" w:rsidR="0022431E" w:rsidRPr="002231C8" w:rsidRDefault="0022431E" w:rsidP="00DE2CF3">
      <w:pPr>
        <w:spacing w:after="0" w:line="240" w:lineRule="auto"/>
        <w:jc w:val="both"/>
        <w:rPr>
          <w:color w:val="000000" w:themeColor="text1"/>
          <w:lang w:val="fr-FR"/>
        </w:rPr>
      </w:pPr>
    </w:p>
    <w:p w14:paraId="3A2A99D4" w14:textId="12C989B7" w:rsidR="00DE5318" w:rsidRPr="002231C8" w:rsidRDefault="00F413BB"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appliquer par les intervenants de la chaîne d'approvisionnement alimentaire</w:t>
      </w:r>
      <w:r w:rsidR="0043082C" w:rsidRPr="002231C8">
        <w:rPr>
          <w:rFonts w:ascii="Calibri" w:hAnsi="Calibri"/>
          <w:color w:val="000000" w:themeColor="text1"/>
          <w:lang w:val="fr-FR"/>
        </w:rPr>
        <w:t>:</w:t>
      </w:r>
      <w:r w:rsidR="001D28B2" w:rsidRPr="002231C8">
        <w:rPr>
          <w:color w:val="000000" w:themeColor="text1"/>
          <w:lang w:val="fr-FR"/>
        </w:rPr>
        <w:t xml:space="preserve"> </w:t>
      </w:r>
    </w:p>
    <w:p w14:paraId="0F5C1EE1" w14:textId="5DAABCB1" w:rsidR="003B72E9" w:rsidRPr="002231C8" w:rsidRDefault="00F413BB"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Participer activement à des plates-formes multipartites afin d'améliorer les opérations de la chaîne de valeur</w:t>
      </w:r>
    </w:p>
    <w:p w14:paraId="5C194E71" w14:textId="77777777" w:rsidR="00180D68" w:rsidRPr="002231C8" w:rsidRDefault="00180D68" w:rsidP="00DE2CF3">
      <w:pPr>
        <w:spacing w:after="0" w:line="240" w:lineRule="auto"/>
        <w:jc w:val="both"/>
        <w:rPr>
          <w:color w:val="000000" w:themeColor="text1"/>
          <w:lang w:val="fr-FR"/>
        </w:rPr>
      </w:pPr>
    </w:p>
    <w:p w14:paraId="51E32170" w14:textId="2C0DE05E" w:rsidR="00180D68" w:rsidRPr="002231C8" w:rsidRDefault="00F413BB" w:rsidP="00DE2CF3">
      <w:pPr>
        <w:spacing w:after="0" w:line="240" w:lineRule="auto"/>
        <w:jc w:val="both"/>
        <w:rPr>
          <w:color w:val="000000" w:themeColor="text1"/>
          <w:lang w:val="fr-FR"/>
        </w:rPr>
      </w:pPr>
      <w:r w:rsidRPr="002231C8">
        <w:rPr>
          <w:rFonts w:ascii="Calibri" w:hAnsi="Calibri"/>
          <w:color w:val="000000" w:themeColor="text1"/>
          <w:lang w:val="fr-FR"/>
        </w:rPr>
        <w:t>Exemples de bonnes pratiques à appliquer de la part des organisations/associations professionnelles</w:t>
      </w:r>
      <w:r w:rsidR="0043082C" w:rsidRPr="002231C8">
        <w:rPr>
          <w:rFonts w:ascii="Calibri" w:hAnsi="Calibri"/>
          <w:color w:val="000000" w:themeColor="text1"/>
          <w:lang w:val="fr-FR"/>
        </w:rPr>
        <w:t>:</w:t>
      </w:r>
    </w:p>
    <w:p w14:paraId="11869E1B" w14:textId="2E346A8F" w:rsidR="00180D68" w:rsidRPr="002231C8" w:rsidRDefault="00D436CC"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Sensibilisation aux exigences et aux réglementations du marché</w:t>
      </w:r>
    </w:p>
    <w:p w14:paraId="75CD9CF2" w14:textId="77777777" w:rsidR="00D71E70" w:rsidRPr="002231C8" w:rsidRDefault="00D71E70" w:rsidP="00DE2CF3">
      <w:pPr>
        <w:spacing w:after="0" w:line="240" w:lineRule="auto"/>
        <w:jc w:val="both"/>
        <w:rPr>
          <w:color w:val="000000" w:themeColor="text1"/>
          <w:lang w:val="fr-FR"/>
        </w:rPr>
      </w:pPr>
    </w:p>
    <w:p w14:paraId="6C0ADD88" w14:textId="4860F4A7" w:rsidR="003E2419" w:rsidRPr="002231C8" w:rsidRDefault="00D436CC" w:rsidP="00FD5745">
      <w:pPr>
        <w:pStyle w:val="ListParagraph"/>
        <w:spacing w:after="0" w:line="240" w:lineRule="auto"/>
        <w:ind w:left="0" w:firstLine="2880"/>
        <w:rPr>
          <w:b/>
          <w:i/>
          <w:color w:val="000000" w:themeColor="text1"/>
          <w:lang w:val="fr-FR"/>
        </w:rPr>
      </w:pPr>
      <w:bookmarkStart w:id="0" w:name="_GoBack"/>
      <w:bookmarkEnd w:id="0"/>
      <w:r w:rsidRPr="002231C8">
        <w:rPr>
          <w:rFonts w:ascii="Calibri" w:hAnsi="Calibri"/>
          <w:b/>
          <w:color w:val="000000" w:themeColor="text1"/>
          <w:lang w:val="fr-FR"/>
        </w:rPr>
        <w:t>2.2.1(b) PRÉVENTION ET RÉDUCTION DU GASPILLAGE ALIMENTAIRE</w:t>
      </w:r>
      <w:r w:rsidR="003E2419" w:rsidRPr="002231C8">
        <w:rPr>
          <w:b/>
          <w:i/>
          <w:color w:val="000000" w:themeColor="text1"/>
          <w:lang w:val="fr-FR"/>
        </w:rPr>
        <w:t xml:space="preserve"> </w:t>
      </w:r>
    </w:p>
    <w:p w14:paraId="77E1A0B7" w14:textId="77777777" w:rsidR="00953465" w:rsidRPr="002231C8" w:rsidRDefault="00953465" w:rsidP="00DE2CF3">
      <w:pPr>
        <w:spacing w:after="0" w:line="240" w:lineRule="auto"/>
        <w:jc w:val="both"/>
        <w:rPr>
          <w:b/>
          <w:i/>
          <w:color w:val="000000" w:themeColor="text1"/>
          <w:lang w:val="fr-FR"/>
        </w:rPr>
      </w:pPr>
    </w:p>
    <w:p w14:paraId="25DF857E" w14:textId="5B1AFAD5" w:rsidR="001D28B2" w:rsidRPr="002231C8" w:rsidRDefault="00D436CC" w:rsidP="00DE2CF3">
      <w:pPr>
        <w:spacing w:after="0" w:line="240" w:lineRule="auto"/>
        <w:jc w:val="both"/>
        <w:rPr>
          <w:b/>
          <w:i/>
          <w:color w:val="000000" w:themeColor="text1"/>
          <w:lang w:val="fr-FR"/>
        </w:rPr>
      </w:pPr>
      <w:r w:rsidRPr="002231C8">
        <w:rPr>
          <w:rFonts w:ascii="Calibri" w:hAnsi="Calibri"/>
          <w:b/>
          <w:i/>
          <w:color w:val="000000" w:themeColor="text1"/>
          <w:lang w:val="fr-FR"/>
        </w:rPr>
        <w:t>Vente au détail</w:t>
      </w:r>
    </w:p>
    <w:p w14:paraId="0B10F3BD" w14:textId="4EC65C43" w:rsidR="001428E9" w:rsidRPr="002231C8" w:rsidRDefault="00D436CC"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t>Cette section énonce les principes directeurs et les mesures à mettre en œuvre de la part des États, des détaillants et des associations professionnelles pour prévenir et réduire le gaspillage alimentaire au niveau de la vente au détail.</w:t>
      </w:r>
    </w:p>
    <w:p w14:paraId="24635FA5" w14:textId="77777777" w:rsidR="00012BBC" w:rsidRPr="002231C8" w:rsidRDefault="00012BBC" w:rsidP="00DE2CF3">
      <w:pPr>
        <w:spacing w:after="0" w:line="240" w:lineRule="auto"/>
        <w:jc w:val="both"/>
        <w:rPr>
          <w:rFonts w:cs="Arial"/>
          <w:color w:val="000000" w:themeColor="text1"/>
          <w:lang w:val="fr-FR"/>
        </w:rPr>
      </w:pPr>
    </w:p>
    <w:p w14:paraId="13590972" w14:textId="3E10AFFB" w:rsidR="001D28B2" w:rsidRPr="002231C8" w:rsidRDefault="00D436CC"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États</w:t>
      </w:r>
      <w:r w:rsidR="0043082C" w:rsidRPr="002231C8">
        <w:rPr>
          <w:rFonts w:ascii="Calibri" w:hAnsi="Calibri"/>
          <w:color w:val="000000" w:themeColor="text1"/>
          <w:lang w:val="fr-FR"/>
        </w:rPr>
        <w:t>:</w:t>
      </w:r>
    </w:p>
    <w:p w14:paraId="59CC1F59" w14:textId="560B1175" w:rsidR="000A24D7" w:rsidRPr="002231C8" w:rsidRDefault="00F31AF7"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Favoriser le développement de marchés pour les produits inférieurs aux normes, modifier les règlements sur l'étiquetage des aliments et établir des politiques et des lois pour faciliter le don d'aliments.</w:t>
      </w:r>
    </w:p>
    <w:p w14:paraId="06DB775F" w14:textId="77777777" w:rsidR="00EA18A5" w:rsidRPr="002231C8" w:rsidRDefault="00EA18A5" w:rsidP="00DE2CF3">
      <w:pPr>
        <w:spacing w:after="0" w:line="240" w:lineRule="auto"/>
        <w:jc w:val="both"/>
        <w:rPr>
          <w:color w:val="000000" w:themeColor="text1"/>
          <w:lang w:val="fr-FR"/>
        </w:rPr>
      </w:pPr>
    </w:p>
    <w:p w14:paraId="2C7F296A" w14:textId="329ED34C" w:rsidR="001D28B2" w:rsidRPr="002231C8" w:rsidRDefault="00F31AF7"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détaillants:</w:t>
      </w:r>
      <w:r w:rsidR="001D28B2" w:rsidRPr="002231C8">
        <w:rPr>
          <w:color w:val="000000" w:themeColor="text1"/>
          <w:lang w:val="fr-FR"/>
        </w:rPr>
        <w:t xml:space="preserve"> </w:t>
      </w:r>
    </w:p>
    <w:p w14:paraId="2564A04D" w14:textId="414CCA07" w:rsidR="00502DF3" w:rsidRPr="002231C8" w:rsidRDefault="00003415"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Renforcement des capacités en matière de gestion des stocks et de vérification et de mesure des déchets, et utilisation de prix différenciés pour les produits proches de la date limite de péremption.</w:t>
      </w:r>
    </w:p>
    <w:p w14:paraId="206666D1" w14:textId="77777777" w:rsidR="001B2A7A" w:rsidRPr="002231C8" w:rsidRDefault="001B2A7A" w:rsidP="00D71E70">
      <w:pPr>
        <w:pStyle w:val="ListParagraph"/>
        <w:spacing w:after="0" w:line="240" w:lineRule="auto"/>
        <w:jc w:val="both"/>
        <w:rPr>
          <w:color w:val="000000" w:themeColor="text1"/>
          <w:lang w:val="fr-FR"/>
        </w:rPr>
      </w:pPr>
    </w:p>
    <w:p w14:paraId="13832649" w14:textId="043F7610" w:rsidR="0093749E" w:rsidRPr="002231C8" w:rsidRDefault="00003415"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associations professionnelles</w:t>
      </w:r>
      <w:r w:rsidR="0043082C" w:rsidRPr="002231C8">
        <w:rPr>
          <w:rFonts w:ascii="Calibri" w:hAnsi="Calibri"/>
          <w:color w:val="000000" w:themeColor="text1"/>
          <w:lang w:val="fr-FR"/>
        </w:rPr>
        <w:t>:</w:t>
      </w:r>
    </w:p>
    <w:p w14:paraId="29608780" w14:textId="6DC7362F" w:rsidR="001D28B2" w:rsidRPr="002231C8" w:rsidRDefault="006B637A" w:rsidP="00DE2CF3">
      <w:pPr>
        <w:pStyle w:val="ListParagraph"/>
        <w:numPr>
          <w:ilvl w:val="0"/>
          <w:numId w:val="11"/>
        </w:numPr>
        <w:spacing w:after="0" w:line="240" w:lineRule="auto"/>
        <w:jc w:val="both"/>
        <w:rPr>
          <w:color w:val="000000" w:themeColor="text1"/>
          <w:lang w:val="fr-FR"/>
        </w:rPr>
      </w:pPr>
      <w:r w:rsidRPr="002231C8">
        <w:rPr>
          <w:rFonts w:ascii="Calibri" w:hAnsi="Calibri"/>
          <w:color w:val="000000" w:themeColor="text1"/>
          <w:lang w:val="fr-FR"/>
        </w:rPr>
        <w:t>Soutenir la formation de leurs membres et participer aux négociations menées avec le secteur public et d'autres intervenants de la chaîne</w:t>
      </w:r>
    </w:p>
    <w:p w14:paraId="773B1030" w14:textId="77777777" w:rsidR="001D28B2" w:rsidRPr="002231C8" w:rsidRDefault="001D28B2" w:rsidP="00DE2CF3">
      <w:pPr>
        <w:pStyle w:val="ListParagraph"/>
        <w:spacing w:after="0" w:line="240" w:lineRule="auto"/>
        <w:jc w:val="both"/>
        <w:rPr>
          <w:color w:val="000000" w:themeColor="text1"/>
          <w:lang w:val="fr-FR"/>
        </w:rPr>
      </w:pPr>
    </w:p>
    <w:p w14:paraId="2FE907B6" w14:textId="73976A72" w:rsidR="001D28B2" w:rsidRPr="002231C8" w:rsidRDefault="006B637A" w:rsidP="00DE2CF3">
      <w:pPr>
        <w:spacing w:after="0" w:line="240" w:lineRule="auto"/>
        <w:jc w:val="both"/>
        <w:rPr>
          <w:b/>
          <w:i/>
          <w:color w:val="000000" w:themeColor="text1"/>
          <w:lang w:val="fr-FR"/>
        </w:rPr>
      </w:pPr>
      <w:r w:rsidRPr="002231C8">
        <w:rPr>
          <w:rFonts w:ascii="Calibri" w:hAnsi="Calibri"/>
          <w:b/>
          <w:i/>
          <w:color w:val="000000" w:themeColor="text1"/>
          <w:lang w:val="fr-FR"/>
        </w:rPr>
        <w:t>Secteur de la consommation (y compris les consommateurs et le secteur de l'hôtellerie, de la restauration et de</w:t>
      </w:r>
      <w:r w:rsidR="00172FE4" w:rsidRPr="002231C8">
        <w:rPr>
          <w:rFonts w:ascii="Calibri" w:hAnsi="Calibri"/>
          <w:b/>
          <w:i/>
          <w:color w:val="000000" w:themeColor="text1"/>
          <w:lang w:val="fr-FR"/>
        </w:rPr>
        <w:t>s cafés</w:t>
      </w:r>
      <w:r w:rsidRPr="002231C8">
        <w:rPr>
          <w:rFonts w:ascii="Calibri" w:hAnsi="Calibri"/>
          <w:b/>
          <w:i/>
          <w:color w:val="000000" w:themeColor="text1"/>
          <w:lang w:val="fr-FR"/>
        </w:rPr>
        <w:t xml:space="preserve"> (</w:t>
      </w:r>
      <w:r w:rsidR="00AB5EC6" w:rsidRPr="002231C8">
        <w:rPr>
          <w:rFonts w:ascii="Calibri" w:hAnsi="Calibri"/>
          <w:b/>
          <w:i/>
          <w:color w:val="000000" w:themeColor="text1"/>
          <w:lang w:val="fr-FR"/>
        </w:rPr>
        <w:t>Horeca</w:t>
      </w:r>
      <w:r w:rsidRPr="002231C8">
        <w:rPr>
          <w:rFonts w:ascii="Calibri" w:hAnsi="Calibri"/>
          <w:b/>
          <w:i/>
          <w:color w:val="000000" w:themeColor="text1"/>
          <w:lang w:val="fr-FR"/>
        </w:rPr>
        <w:t>)</w:t>
      </w:r>
    </w:p>
    <w:p w14:paraId="19D997C7" w14:textId="03F8EA9D" w:rsidR="001428E9" w:rsidRPr="002231C8" w:rsidRDefault="006B637A"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Cette section énonce les principes directeurs et les mesures à mettre en œuvre de la part des États, des consommateurs et des associations de consommateurs et parties prenantes du secteur de </w:t>
      </w:r>
      <w:r w:rsidR="00AB5EC6" w:rsidRPr="002231C8">
        <w:rPr>
          <w:rFonts w:ascii="Calibri" w:hAnsi="Calibri" w:cs="Arial"/>
          <w:color w:val="000000" w:themeColor="text1"/>
          <w:lang w:val="fr-FR"/>
        </w:rPr>
        <w:t>l’Horeca</w:t>
      </w:r>
      <w:r w:rsidRPr="002231C8">
        <w:rPr>
          <w:rFonts w:ascii="Calibri" w:hAnsi="Calibri" w:cs="Arial"/>
          <w:color w:val="000000" w:themeColor="text1"/>
          <w:lang w:val="fr-FR"/>
        </w:rPr>
        <w:t xml:space="preserve"> pour prévenir et réduire le gaspillage alimentaire au niveau de la vente au détail.</w:t>
      </w:r>
    </w:p>
    <w:p w14:paraId="4BA06BC8" w14:textId="77777777" w:rsidR="003C53A7" w:rsidRPr="002231C8" w:rsidRDefault="003C53A7" w:rsidP="00DE2CF3">
      <w:pPr>
        <w:spacing w:after="0" w:line="240" w:lineRule="auto"/>
        <w:jc w:val="both"/>
        <w:rPr>
          <w:rFonts w:cs="Arial"/>
          <w:color w:val="000000" w:themeColor="text1"/>
          <w:lang w:val="fr-FR"/>
        </w:rPr>
      </w:pPr>
    </w:p>
    <w:p w14:paraId="6453C43A" w14:textId="5670B1C3" w:rsidR="002214D8" w:rsidRPr="002231C8" w:rsidRDefault="006B637A"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États</w:t>
      </w:r>
      <w:r w:rsidR="0043082C" w:rsidRPr="002231C8">
        <w:rPr>
          <w:rFonts w:ascii="Calibri" w:hAnsi="Calibri"/>
          <w:color w:val="000000" w:themeColor="text1"/>
          <w:lang w:val="fr-FR"/>
        </w:rPr>
        <w:t>:</w:t>
      </w:r>
    </w:p>
    <w:p w14:paraId="7C9BC679" w14:textId="05189C9D" w:rsidR="002214D8" w:rsidRPr="002231C8" w:rsidRDefault="006B637A" w:rsidP="00DE2CF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Éducation des consommateurs sur la planification des repas, les bonnes pratiques d'entreposage, la lecture des étiquettes.</w:t>
      </w:r>
    </w:p>
    <w:p w14:paraId="7F1A1540" w14:textId="5CF8F63B" w:rsidR="002214D8" w:rsidRPr="002231C8" w:rsidRDefault="006B637A" w:rsidP="00DE2CF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Campagnes et manifestations de sensibilisation sur l'empreinte du gaspillage alimentaire.</w:t>
      </w:r>
    </w:p>
    <w:p w14:paraId="26AE3DD9" w14:textId="5168A74D" w:rsidR="001B2A7A" w:rsidRPr="002231C8" w:rsidRDefault="006B637A" w:rsidP="00DE2CF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Promotion de mesures fiscales visant à encourager les pratiques de réduction du gaspillage alimentaire</w:t>
      </w:r>
      <w:r w:rsidR="00172FE4" w:rsidRPr="002231C8">
        <w:rPr>
          <w:rFonts w:ascii="Calibri" w:hAnsi="Calibri" w:cs="Arial"/>
          <w:color w:val="000000" w:themeColor="text1"/>
          <w:lang w:val="fr-FR"/>
        </w:rPr>
        <w:t>.</w:t>
      </w:r>
    </w:p>
    <w:p w14:paraId="05878294" w14:textId="77777777" w:rsidR="002214D8" w:rsidRPr="002231C8" w:rsidRDefault="002214D8" w:rsidP="00DE2CF3">
      <w:pPr>
        <w:spacing w:after="0" w:line="240" w:lineRule="auto"/>
        <w:jc w:val="both"/>
        <w:rPr>
          <w:rFonts w:cs="Arial"/>
          <w:color w:val="000000" w:themeColor="text1"/>
          <w:sz w:val="20"/>
          <w:szCs w:val="20"/>
          <w:lang w:val="fr-FR"/>
        </w:rPr>
      </w:pPr>
    </w:p>
    <w:p w14:paraId="3AA92BF3" w14:textId="36377167" w:rsidR="0093749E" w:rsidRPr="002231C8" w:rsidRDefault="00172FE4"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prendre de la part des associations de consommateurs:</w:t>
      </w:r>
    </w:p>
    <w:p w14:paraId="0707EE5C" w14:textId="17282BBF" w:rsidR="0093749E" w:rsidRPr="002231C8" w:rsidRDefault="00172FE4" w:rsidP="00DE2CF3">
      <w:pPr>
        <w:pStyle w:val="ListParagraph"/>
        <w:numPr>
          <w:ilvl w:val="0"/>
          <w:numId w:val="11"/>
        </w:numPr>
        <w:spacing w:after="0" w:line="240" w:lineRule="auto"/>
        <w:jc w:val="both"/>
        <w:rPr>
          <w:color w:val="000000" w:themeColor="text1"/>
          <w:lang w:val="fr-FR"/>
        </w:rPr>
      </w:pPr>
      <w:r w:rsidRPr="002231C8">
        <w:rPr>
          <w:rFonts w:ascii="Calibri" w:hAnsi="Calibri" w:cs="Arial"/>
          <w:color w:val="000000" w:themeColor="text1"/>
          <w:lang w:val="fr-FR"/>
        </w:rPr>
        <w:t xml:space="preserve">Campagnes de sensibilisation sur </w:t>
      </w:r>
      <w:r w:rsidR="001963FA" w:rsidRPr="002231C8">
        <w:rPr>
          <w:rFonts w:ascii="Calibri" w:hAnsi="Calibri" w:cs="Arial"/>
          <w:color w:val="000000" w:themeColor="text1"/>
          <w:lang w:val="fr-FR"/>
        </w:rPr>
        <w:t>les mesures visant à éviter le</w:t>
      </w:r>
      <w:r w:rsidRPr="002231C8">
        <w:rPr>
          <w:rFonts w:ascii="Calibri" w:hAnsi="Calibri" w:cs="Arial"/>
          <w:color w:val="000000" w:themeColor="text1"/>
          <w:lang w:val="fr-FR"/>
        </w:rPr>
        <w:t xml:space="preserve"> gaspillage alimentaire.</w:t>
      </w:r>
    </w:p>
    <w:p w14:paraId="564FF42C" w14:textId="77777777" w:rsidR="001F18EB" w:rsidRPr="002231C8" w:rsidRDefault="001F18EB" w:rsidP="00D71E70">
      <w:pPr>
        <w:pStyle w:val="ListParagraph"/>
        <w:spacing w:after="0" w:line="240" w:lineRule="auto"/>
        <w:jc w:val="both"/>
        <w:rPr>
          <w:rFonts w:cs="Arial"/>
          <w:color w:val="000000" w:themeColor="text1"/>
          <w:sz w:val="20"/>
          <w:szCs w:val="20"/>
          <w:lang w:val="fr-FR"/>
        </w:rPr>
      </w:pPr>
    </w:p>
    <w:p w14:paraId="54571107" w14:textId="78375694" w:rsidR="002214D8" w:rsidRPr="002231C8" w:rsidRDefault="00172FE4" w:rsidP="00DE2CF3">
      <w:pPr>
        <w:spacing w:after="0" w:line="240" w:lineRule="auto"/>
        <w:jc w:val="both"/>
        <w:rPr>
          <w:rFonts w:cs="Arial"/>
          <w:color w:val="000000" w:themeColor="text1"/>
          <w:lang w:val="fr-FR"/>
        </w:rPr>
      </w:pPr>
      <w:r w:rsidRPr="002231C8">
        <w:rPr>
          <w:rFonts w:ascii="Calibri" w:hAnsi="Calibri" w:cs="Arial"/>
          <w:color w:val="000000" w:themeColor="text1"/>
          <w:lang w:val="fr-FR"/>
        </w:rPr>
        <w:t>Exemples de mesures à prendre de la part du secteur de l'hôtellerie, de la restauration et des cafés</w:t>
      </w:r>
      <w:r w:rsidR="0043082C" w:rsidRPr="002231C8">
        <w:rPr>
          <w:rFonts w:ascii="Calibri" w:hAnsi="Calibri" w:cs="Arial"/>
          <w:color w:val="000000" w:themeColor="text1"/>
          <w:lang w:val="fr-FR"/>
        </w:rPr>
        <w:t>:</w:t>
      </w:r>
    </w:p>
    <w:p w14:paraId="2B35199A" w14:textId="5F8CF08C" w:rsidR="00422BCC" w:rsidRPr="002231C8" w:rsidRDefault="00172FE4" w:rsidP="00422BCC">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Sensibilisation et renforcement des capacités sur les bonnes pratiques auprès de leurs employés</w:t>
      </w:r>
      <w:r w:rsidR="00AB5EC6" w:rsidRPr="002231C8">
        <w:rPr>
          <w:rFonts w:ascii="Calibri" w:hAnsi="Calibri" w:cs="Arial"/>
          <w:color w:val="000000" w:themeColor="text1"/>
          <w:lang w:val="fr-FR"/>
        </w:rPr>
        <w:t>.</w:t>
      </w:r>
    </w:p>
    <w:p w14:paraId="12C273BF" w14:textId="77777777" w:rsidR="0087258C" w:rsidRPr="002231C8" w:rsidRDefault="0087258C" w:rsidP="00597EF7">
      <w:pPr>
        <w:pStyle w:val="ListParagraph"/>
        <w:spacing w:after="0" w:line="240" w:lineRule="auto"/>
        <w:jc w:val="both"/>
        <w:rPr>
          <w:rFonts w:cs="Arial"/>
          <w:color w:val="000000" w:themeColor="text1"/>
          <w:lang w:val="fr-FR"/>
        </w:rPr>
      </w:pPr>
    </w:p>
    <w:p w14:paraId="48DF2D58" w14:textId="4FF6B4A8" w:rsidR="0087258C" w:rsidRPr="002231C8" w:rsidRDefault="00AB5EC6" w:rsidP="0087258C">
      <w:pPr>
        <w:pStyle w:val="ListParagraph"/>
        <w:spacing w:after="0" w:line="240" w:lineRule="auto"/>
        <w:ind w:left="2880"/>
        <w:jc w:val="both"/>
        <w:rPr>
          <w:b/>
          <w:color w:val="000000" w:themeColor="text1"/>
          <w:lang w:val="fr-FR"/>
        </w:rPr>
      </w:pPr>
      <w:r w:rsidRPr="002231C8">
        <w:rPr>
          <w:rFonts w:ascii="Calibri" w:hAnsi="Calibri"/>
          <w:b/>
          <w:color w:val="000000" w:themeColor="text1"/>
          <w:lang w:val="fr-FR"/>
        </w:rPr>
        <w:t>2.2.1(c)  REDISTRIBUTION ALIMENTAIRE</w:t>
      </w:r>
      <w:r w:rsidR="0087258C" w:rsidRPr="002231C8">
        <w:rPr>
          <w:b/>
          <w:color w:val="000000" w:themeColor="text1"/>
          <w:lang w:val="fr-FR"/>
        </w:rPr>
        <w:t xml:space="preserve"> </w:t>
      </w:r>
    </w:p>
    <w:p w14:paraId="34DB6355" w14:textId="2F9849C5" w:rsidR="0087258C" w:rsidRPr="002231C8" w:rsidRDefault="00AB5EC6" w:rsidP="006C363E">
      <w:pPr>
        <w:spacing w:line="280" w:lineRule="auto"/>
        <w:jc w:val="both"/>
        <w:rPr>
          <w:lang w:val="fr-FR"/>
        </w:rPr>
      </w:pPr>
      <w:r w:rsidRPr="002231C8">
        <w:rPr>
          <w:rFonts w:ascii="Calibri" w:hAnsi="Calibri"/>
          <w:lang w:val="fr-FR"/>
        </w:rPr>
        <w:t>Cette section énonce les principes directeurs et les mesures à mettre en œuvre de la part des différentes parties prenantes à la redistribution alimentaire.</w:t>
      </w:r>
      <w:r w:rsidR="00BF31EA" w:rsidRPr="002231C8">
        <w:rPr>
          <w:lang w:val="fr-FR"/>
        </w:rPr>
        <w:t xml:space="preserve"> </w:t>
      </w:r>
      <w:r w:rsidRPr="002231C8">
        <w:rPr>
          <w:rFonts w:ascii="Calibri" w:hAnsi="Calibri"/>
          <w:lang w:val="fr-FR"/>
        </w:rPr>
        <w:t>La redistribution alimentaire implique la collecte et la redistribution d'aliments sains et nutritifs pour la consommation humaine.</w:t>
      </w:r>
      <w:r w:rsidR="00D565CB" w:rsidRPr="002231C8">
        <w:rPr>
          <w:lang w:val="fr-FR"/>
        </w:rPr>
        <w:t xml:space="preserve"> </w:t>
      </w:r>
      <w:r w:rsidR="00E55477" w:rsidRPr="002231C8">
        <w:rPr>
          <w:rFonts w:ascii="Calibri" w:hAnsi="Calibri"/>
          <w:lang w:val="fr-FR"/>
        </w:rPr>
        <w:t>Elle peut se faire principalement par l'intermédiaire de banques alimentaires, de magasins communautaires, de supermarchés sociaux, de cuisines-garde-manger ou de programmes de cantines scolaires.</w:t>
      </w:r>
      <w:r w:rsidR="00D565CB" w:rsidRPr="002231C8">
        <w:rPr>
          <w:lang w:val="fr-FR"/>
        </w:rPr>
        <w:t xml:space="preserve"> </w:t>
      </w:r>
      <w:r w:rsidR="006C363E" w:rsidRPr="002231C8">
        <w:rPr>
          <w:rFonts w:ascii="Calibri" w:hAnsi="Calibri"/>
          <w:lang w:val="fr-FR"/>
        </w:rPr>
        <w:t>Il est ainsi possible de récupérer différents types d'aliments (frais, emballés, congelés, etc.) à différents stades de la chaîne d'approvisionnement alimentaire (des producteurs aux services de restauration).</w:t>
      </w:r>
      <w:r w:rsidR="00BF31EA" w:rsidRPr="002231C8">
        <w:rPr>
          <w:lang w:val="fr-FR"/>
        </w:rPr>
        <w:t xml:space="preserve"> </w:t>
      </w:r>
      <w:r w:rsidR="006C363E" w:rsidRPr="002231C8">
        <w:rPr>
          <w:rFonts w:ascii="Calibri" w:hAnsi="Calibri"/>
          <w:lang w:val="fr-FR"/>
        </w:rPr>
        <w:t xml:space="preserve">Les activités de collecte, de manipulation, de traitement, de stockage et de </w:t>
      </w:r>
      <w:r w:rsidR="006C363E" w:rsidRPr="002231C8">
        <w:rPr>
          <w:rFonts w:ascii="Calibri" w:hAnsi="Calibri"/>
          <w:lang w:val="fr-FR"/>
        </w:rPr>
        <w:lastRenderedPageBreak/>
        <w:t>redistribution devront être effectuées conformément aux réglementations spécifiques en matière d'hygiène ainsi qu'aux procédures légales et administratives.</w:t>
      </w:r>
    </w:p>
    <w:p w14:paraId="1565D9A4" w14:textId="77777777" w:rsidR="00D71E70" w:rsidRPr="002231C8" w:rsidRDefault="00D71E70" w:rsidP="00DE2CF3">
      <w:pPr>
        <w:spacing w:after="0" w:line="240" w:lineRule="auto"/>
        <w:rPr>
          <w:b/>
          <w:color w:val="000000" w:themeColor="text1"/>
          <w:lang w:val="fr-FR"/>
        </w:rPr>
      </w:pPr>
    </w:p>
    <w:p w14:paraId="7F5B130F" w14:textId="21ECA147" w:rsidR="00936308" w:rsidRPr="002231C8" w:rsidRDefault="006C363E" w:rsidP="00597EF7">
      <w:pPr>
        <w:pStyle w:val="ListParagraph"/>
        <w:numPr>
          <w:ilvl w:val="2"/>
          <w:numId w:val="35"/>
        </w:numPr>
        <w:spacing w:after="0" w:line="240" w:lineRule="auto"/>
        <w:jc w:val="both"/>
        <w:rPr>
          <w:b/>
          <w:caps/>
          <w:color w:val="000000" w:themeColor="text1"/>
          <w:lang w:val="fr-FR"/>
        </w:rPr>
      </w:pPr>
      <w:r w:rsidRPr="002231C8">
        <w:rPr>
          <w:rFonts w:ascii="Calibri" w:hAnsi="Calibri"/>
          <w:b/>
          <w:caps/>
          <w:color w:val="000000" w:themeColor="text1"/>
          <w:lang w:val="fr-FR"/>
        </w:rPr>
        <w:t>RECONVERSION ET RECYCLAGE des pertes et du gaspillage alimentaires</w:t>
      </w:r>
      <w:r w:rsidR="00936308" w:rsidRPr="002231C8">
        <w:rPr>
          <w:b/>
          <w:caps/>
          <w:color w:val="000000" w:themeColor="text1"/>
          <w:lang w:val="fr-FR"/>
        </w:rPr>
        <w:t xml:space="preserve"> </w:t>
      </w:r>
    </w:p>
    <w:p w14:paraId="63F72646" w14:textId="1D699CDC" w:rsidR="007775DD" w:rsidRPr="002231C8" w:rsidRDefault="006C363E" w:rsidP="00694F85">
      <w:pPr>
        <w:spacing w:after="0" w:line="260" w:lineRule="auto"/>
        <w:rPr>
          <w:lang w:val="fr-FR"/>
        </w:rPr>
      </w:pPr>
      <w:r w:rsidRPr="002231C8">
        <w:rPr>
          <w:rFonts w:ascii="Calibri" w:hAnsi="Calibri"/>
          <w:lang w:val="fr-FR"/>
        </w:rPr>
        <w:t>Cette section concerne les aliments qui ne peuvent être utilisés ou récupérés pour la consommation humaine et qui ont subi une réduction de leur valeur nutritionnelle ou économique.</w:t>
      </w:r>
      <w:r w:rsidR="00936308" w:rsidRPr="002231C8">
        <w:rPr>
          <w:lang w:val="fr-FR"/>
        </w:rPr>
        <w:t xml:space="preserve"> </w:t>
      </w:r>
      <w:r w:rsidR="00694F85" w:rsidRPr="002231C8">
        <w:rPr>
          <w:rFonts w:ascii="Calibri" w:hAnsi="Calibri"/>
          <w:lang w:val="fr-FR"/>
        </w:rPr>
        <w:t>Ces denrées alimentaires peuvent donc être réorientées vers des applications industrielles telles que l'alimentation animale ou le recyclage (biocarburants, matériaux d'emballage, bioplastiques, engrais, digestion anaérobie, compostage, etc.</w:t>
      </w:r>
    </w:p>
    <w:p w14:paraId="1B844724" w14:textId="77777777" w:rsidR="002A2845" w:rsidRPr="002231C8" w:rsidRDefault="002A2845" w:rsidP="00DE2CF3">
      <w:pPr>
        <w:spacing w:after="0" w:line="240" w:lineRule="auto"/>
        <w:jc w:val="both"/>
        <w:rPr>
          <w:color w:val="000000" w:themeColor="text1"/>
          <w:lang w:val="fr-FR"/>
        </w:rPr>
      </w:pPr>
    </w:p>
    <w:p w14:paraId="3CA9DF49" w14:textId="090A1123" w:rsidR="00932FDF" w:rsidRPr="002231C8" w:rsidRDefault="00694F85" w:rsidP="00DE2CF3">
      <w:pPr>
        <w:pStyle w:val="NormalWeb"/>
        <w:spacing w:before="0" w:beforeAutospacing="0" w:after="0" w:afterAutospacing="0"/>
        <w:jc w:val="both"/>
        <w:rPr>
          <w:color w:val="000000" w:themeColor="text1"/>
          <w:lang w:val="fr-FR"/>
        </w:rPr>
      </w:pPr>
      <w:r w:rsidRPr="002231C8">
        <w:rPr>
          <w:rFonts w:ascii="Calibri" w:hAnsi="Calibri" w:cstheme="minorBidi"/>
          <w:color w:val="000000" w:themeColor="text1"/>
          <w:sz w:val="22"/>
          <w:szCs w:val="22"/>
          <w:lang w:val="fr-FR" w:eastAsia="en-US"/>
        </w:rPr>
        <w:t>Exemples de mesures à prendre de la part des États</w:t>
      </w:r>
      <w:r w:rsidR="0043082C" w:rsidRPr="002231C8">
        <w:rPr>
          <w:rFonts w:ascii="Calibri" w:hAnsi="Calibri" w:cstheme="minorBidi"/>
          <w:color w:val="000000" w:themeColor="text1"/>
          <w:sz w:val="22"/>
          <w:szCs w:val="22"/>
          <w:lang w:val="fr-FR" w:eastAsia="en-US"/>
        </w:rPr>
        <w:t>:</w:t>
      </w:r>
    </w:p>
    <w:p w14:paraId="5BE7B7A1" w14:textId="23ADEE14" w:rsidR="00936308" w:rsidRPr="002231C8" w:rsidRDefault="000738EF" w:rsidP="000A58C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Promouvoir des pratiques saines afin de susciter et d'encourager les mesures destinées à </w:t>
      </w:r>
      <w:r w:rsidR="001963FA" w:rsidRPr="002231C8">
        <w:rPr>
          <w:rFonts w:ascii="Calibri" w:hAnsi="Calibri" w:cs="Arial"/>
          <w:color w:val="000000" w:themeColor="text1"/>
          <w:lang w:val="fr-FR"/>
        </w:rPr>
        <w:t>réacheminer</w:t>
      </w:r>
      <w:r w:rsidRPr="002231C8">
        <w:rPr>
          <w:rFonts w:ascii="Calibri" w:hAnsi="Calibri" w:cs="Arial"/>
          <w:color w:val="000000" w:themeColor="text1"/>
          <w:lang w:val="fr-FR"/>
        </w:rPr>
        <w:t xml:space="preserve"> les denrées alimentaires vers l'alimentation animale</w:t>
      </w:r>
    </w:p>
    <w:p w14:paraId="637C7999" w14:textId="48D0D4AF" w:rsidR="00932FDF" w:rsidRPr="002231C8" w:rsidRDefault="000738EF" w:rsidP="000A58C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Promouvoir des pratiques saines afin de susciter et d'encourager les mesures destinées </w:t>
      </w:r>
      <w:r w:rsidR="00E83185" w:rsidRPr="002231C8">
        <w:rPr>
          <w:rFonts w:ascii="Calibri" w:hAnsi="Calibri" w:cs="Arial"/>
          <w:color w:val="000000" w:themeColor="text1"/>
          <w:lang w:val="fr-FR"/>
        </w:rPr>
        <w:t xml:space="preserve">au recyclage, </w:t>
      </w:r>
      <w:r w:rsidR="001963FA" w:rsidRPr="002231C8">
        <w:rPr>
          <w:rFonts w:ascii="Calibri" w:hAnsi="Calibri" w:cs="Arial"/>
          <w:color w:val="000000" w:themeColor="text1"/>
          <w:lang w:val="fr-FR"/>
        </w:rPr>
        <w:t>impliquant</w:t>
      </w:r>
      <w:r w:rsidR="00E83185" w:rsidRPr="002231C8">
        <w:rPr>
          <w:rFonts w:ascii="Calibri" w:hAnsi="Calibri" w:cs="Arial"/>
          <w:color w:val="000000" w:themeColor="text1"/>
          <w:lang w:val="fr-FR"/>
        </w:rPr>
        <w:t xml:space="preserve"> des utilisations industrielles, des engrais, la digestion anaérobie et le compostage.</w:t>
      </w:r>
    </w:p>
    <w:p w14:paraId="10854399" w14:textId="77777777" w:rsidR="00932FDF" w:rsidRPr="002231C8" w:rsidRDefault="00932FDF" w:rsidP="00DE2CF3">
      <w:pPr>
        <w:spacing w:after="0" w:line="240" w:lineRule="auto"/>
        <w:jc w:val="both"/>
        <w:rPr>
          <w:color w:val="000000" w:themeColor="text1"/>
          <w:lang w:val="fr-FR"/>
        </w:rPr>
      </w:pPr>
    </w:p>
    <w:p w14:paraId="637F01CC" w14:textId="0A33632D" w:rsidR="00932FDF" w:rsidRPr="002231C8" w:rsidRDefault="00E83185"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appliquer par les intervenants de la chaîne d'approvisionnement alimentaire</w:t>
      </w:r>
      <w:r w:rsidR="0043082C" w:rsidRPr="002231C8">
        <w:rPr>
          <w:rFonts w:ascii="Calibri" w:hAnsi="Calibri"/>
          <w:color w:val="000000" w:themeColor="text1"/>
          <w:lang w:val="fr-FR"/>
        </w:rPr>
        <w:t>:</w:t>
      </w:r>
    </w:p>
    <w:p w14:paraId="0E6D108A" w14:textId="28C30EE4" w:rsidR="00953ED0" w:rsidRPr="002231C8" w:rsidRDefault="00E83185" w:rsidP="00DE2CF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Améliorer les pratiques de ségrégation à la source et de </w:t>
      </w:r>
      <w:r w:rsidR="002231C8" w:rsidRPr="002231C8">
        <w:rPr>
          <w:rFonts w:ascii="Calibri" w:hAnsi="Calibri" w:cs="Arial"/>
          <w:color w:val="000000" w:themeColor="text1"/>
          <w:lang w:val="fr-FR"/>
        </w:rPr>
        <w:t>réacheminement</w:t>
      </w:r>
      <w:r w:rsidRPr="002231C8">
        <w:rPr>
          <w:rFonts w:ascii="Calibri" w:hAnsi="Calibri" w:cs="Arial"/>
          <w:color w:val="000000" w:themeColor="text1"/>
          <w:lang w:val="fr-FR"/>
        </w:rPr>
        <w:t xml:space="preserve"> à des fins économiques.</w:t>
      </w:r>
    </w:p>
    <w:p w14:paraId="092029AA" w14:textId="77777777" w:rsidR="00953ED0" w:rsidRPr="002231C8" w:rsidRDefault="00953ED0" w:rsidP="00DE2CF3">
      <w:pPr>
        <w:spacing w:after="0" w:line="240" w:lineRule="auto"/>
        <w:jc w:val="both"/>
        <w:rPr>
          <w:color w:val="000000" w:themeColor="text1"/>
          <w:lang w:val="fr-FR"/>
        </w:rPr>
      </w:pPr>
    </w:p>
    <w:p w14:paraId="3FD839EA" w14:textId="3A58F9CF" w:rsidR="00932FDF" w:rsidRPr="002231C8" w:rsidRDefault="00E83185" w:rsidP="00342AE2">
      <w:pPr>
        <w:pStyle w:val="ListParagraph"/>
        <w:numPr>
          <w:ilvl w:val="2"/>
          <w:numId w:val="35"/>
        </w:numPr>
        <w:spacing w:after="0" w:line="240" w:lineRule="auto"/>
        <w:jc w:val="both"/>
        <w:rPr>
          <w:b/>
          <w:caps/>
          <w:color w:val="000000" w:themeColor="text1"/>
          <w:lang w:val="fr-FR"/>
        </w:rPr>
      </w:pPr>
      <w:r w:rsidRPr="002231C8">
        <w:rPr>
          <w:rFonts w:ascii="Calibri" w:hAnsi="Calibri"/>
          <w:b/>
          <w:caps/>
          <w:color w:val="000000" w:themeColor="text1"/>
          <w:lang w:val="fr-FR"/>
        </w:rPr>
        <w:t>INCINÉRATION ET MISE EN DÉCHARGE</w:t>
      </w:r>
      <w:r w:rsidR="00936308" w:rsidRPr="002231C8">
        <w:rPr>
          <w:b/>
          <w:caps/>
          <w:color w:val="000000" w:themeColor="text1"/>
          <w:lang w:val="fr-FR"/>
        </w:rPr>
        <w:t xml:space="preserve"> </w:t>
      </w:r>
    </w:p>
    <w:p w14:paraId="653298BA" w14:textId="3C2A0209" w:rsidR="00DE2CF3" w:rsidRPr="002231C8" w:rsidRDefault="00E83185" w:rsidP="003C53A7">
      <w:pPr>
        <w:spacing w:after="0" w:line="240" w:lineRule="auto"/>
        <w:jc w:val="both"/>
        <w:rPr>
          <w:color w:val="000000" w:themeColor="text1"/>
          <w:lang w:val="fr-FR"/>
        </w:rPr>
      </w:pPr>
      <w:r w:rsidRPr="002231C8">
        <w:rPr>
          <w:rFonts w:ascii="Calibri" w:hAnsi="Calibri"/>
          <w:color w:val="000000" w:themeColor="text1"/>
          <w:lang w:val="fr-FR"/>
        </w:rPr>
        <w:t>Cette section décrira les principes et les pratiques liés à l'élimination adéquate des matières résultant soit (i) du fait que les pertes et le gaspillage alimentaires n'ont pas été évités et que les aliments ne peuvent être récupérés pour la consommation humaine ou destinés à d'autres usages, soit (ii) des parties non comestibles des aliments comme les peaux et les os</w:t>
      </w:r>
      <w:r w:rsidR="00FF0420" w:rsidRPr="002231C8">
        <w:rPr>
          <w:rFonts w:ascii="Calibri" w:hAnsi="Calibri"/>
          <w:color w:val="000000" w:themeColor="text1"/>
          <w:lang w:val="fr-FR"/>
        </w:rPr>
        <w:t>.</w:t>
      </w:r>
    </w:p>
    <w:p w14:paraId="611A05CA" w14:textId="77777777" w:rsidR="003C53A7" w:rsidRPr="002231C8" w:rsidRDefault="003C53A7" w:rsidP="00DE2CF3">
      <w:pPr>
        <w:spacing w:after="0" w:line="240" w:lineRule="auto"/>
        <w:jc w:val="both"/>
        <w:rPr>
          <w:color w:val="000000" w:themeColor="text1"/>
          <w:lang w:val="fr-FR"/>
        </w:rPr>
      </w:pPr>
    </w:p>
    <w:p w14:paraId="3E5CF7A4" w14:textId="60157FCB" w:rsidR="000C08E3" w:rsidRPr="002231C8" w:rsidRDefault="00FF0420" w:rsidP="00DE2CF3">
      <w:pPr>
        <w:spacing w:after="0" w:line="240" w:lineRule="auto"/>
        <w:jc w:val="both"/>
        <w:rPr>
          <w:color w:val="000000" w:themeColor="text1"/>
          <w:lang w:val="fr-FR"/>
        </w:rPr>
      </w:pPr>
      <w:r w:rsidRPr="002231C8">
        <w:rPr>
          <w:rFonts w:ascii="Calibri" w:hAnsi="Calibri"/>
          <w:color w:val="000000" w:themeColor="text1"/>
          <w:lang w:val="fr-FR"/>
        </w:rPr>
        <w:t>Parmi les exemples de principes directeurs applicables, mentionnons</w:t>
      </w:r>
      <w:r w:rsidR="0043082C" w:rsidRPr="002231C8">
        <w:rPr>
          <w:rFonts w:ascii="Calibri" w:hAnsi="Calibri"/>
          <w:color w:val="000000" w:themeColor="text1"/>
          <w:lang w:val="fr-FR"/>
        </w:rPr>
        <w:t>:</w:t>
      </w:r>
    </w:p>
    <w:p w14:paraId="0F951F94" w14:textId="0D6A9F4C" w:rsidR="00EA2599" w:rsidRPr="002231C8" w:rsidRDefault="00FF0420" w:rsidP="000A58C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 xml:space="preserve">Considérer l'enfouissement et l'incinération comme les options les moins </w:t>
      </w:r>
      <w:r w:rsidR="002231C8">
        <w:rPr>
          <w:rFonts w:ascii="Calibri" w:hAnsi="Calibri" w:cs="Arial"/>
          <w:color w:val="000000" w:themeColor="text1"/>
          <w:lang w:val="fr-FR"/>
        </w:rPr>
        <w:t>souhaitables</w:t>
      </w:r>
      <w:r w:rsidRPr="002231C8">
        <w:rPr>
          <w:rFonts w:ascii="Calibri" w:hAnsi="Calibri" w:cs="Arial"/>
          <w:color w:val="000000" w:themeColor="text1"/>
          <w:lang w:val="fr-FR"/>
        </w:rPr>
        <w:t xml:space="preserve"> pour la gestion des déchets en raison de leur forte empreinte environnementale </w:t>
      </w:r>
      <w:r w:rsidR="002231C8">
        <w:rPr>
          <w:rFonts w:ascii="Calibri" w:hAnsi="Calibri" w:cs="Arial"/>
          <w:color w:val="000000" w:themeColor="text1"/>
          <w:lang w:val="fr-FR"/>
        </w:rPr>
        <w:t>résultant de</w:t>
      </w:r>
      <w:r w:rsidRPr="002231C8">
        <w:rPr>
          <w:rFonts w:ascii="Calibri" w:hAnsi="Calibri" w:cs="Arial"/>
          <w:color w:val="000000" w:themeColor="text1"/>
          <w:lang w:val="fr-FR"/>
        </w:rPr>
        <w:t xml:space="preserve"> la production de méthane et du risque de contamination des sols et des eaux souterraines.</w:t>
      </w:r>
    </w:p>
    <w:p w14:paraId="66E931CD" w14:textId="77777777" w:rsidR="00CA04D4" w:rsidRPr="002231C8" w:rsidRDefault="00CA04D4" w:rsidP="00DE2CF3">
      <w:pPr>
        <w:spacing w:after="0" w:line="240" w:lineRule="auto"/>
        <w:jc w:val="both"/>
        <w:rPr>
          <w:color w:val="000000" w:themeColor="text1"/>
          <w:lang w:val="fr-FR"/>
        </w:rPr>
      </w:pPr>
    </w:p>
    <w:p w14:paraId="1B2878CA" w14:textId="10773251" w:rsidR="00BC56B0" w:rsidRPr="002231C8" w:rsidRDefault="00FF0420" w:rsidP="00DE2CF3">
      <w:pPr>
        <w:pStyle w:val="NormalWeb"/>
        <w:spacing w:before="0" w:beforeAutospacing="0" w:after="0" w:afterAutospacing="0"/>
        <w:jc w:val="both"/>
        <w:rPr>
          <w:color w:val="000000" w:themeColor="text1"/>
          <w:lang w:val="fr-FR"/>
        </w:rPr>
      </w:pPr>
      <w:r w:rsidRPr="002231C8">
        <w:rPr>
          <w:rFonts w:ascii="Calibri" w:hAnsi="Calibri" w:cstheme="minorBidi"/>
          <w:color w:val="000000" w:themeColor="text1"/>
          <w:sz w:val="22"/>
          <w:szCs w:val="22"/>
          <w:lang w:val="fr-FR" w:eastAsia="en-US"/>
        </w:rPr>
        <w:t>Exemples de mesures à prendre de la part des États</w:t>
      </w:r>
      <w:r w:rsidR="0043082C" w:rsidRPr="002231C8">
        <w:rPr>
          <w:rFonts w:ascii="Calibri" w:hAnsi="Calibri" w:cstheme="minorBidi"/>
          <w:color w:val="000000" w:themeColor="text1"/>
          <w:sz w:val="22"/>
          <w:szCs w:val="22"/>
          <w:lang w:val="fr-FR" w:eastAsia="en-US"/>
        </w:rPr>
        <w:t>:</w:t>
      </w:r>
    </w:p>
    <w:p w14:paraId="7AAEA5C3" w14:textId="1D3FFCFA" w:rsidR="00EA36F9" w:rsidRPr="002231C8" w:rsidRDefault="00FF0420" w:rsidP="000A58C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Appliquer des mesures réglementaires visant à améliorer la coordination et la mise en œuvre des mesures de gestion des déchets afin de réduire la quantité de pertes et de gaspillage alimentaires envoyés à la décharge</w:t>
      </w:r>
    </w:p>
    <w:p w14:paraId="191A1584" w14:textId="77777777" w:rsidR="00A915D1" w:rsidRPr="002231C8" w:rsidRDefault="00A915D1" w:rsidP="00DE2CF3">
      <w:pPr>
        <w:spacing w:after="0" w:line="240" w:lineRule="auto"/>
        <w:jc w:val="both"/>
        <w:rPr>
          <w:rFonts w:cs="Arial"/>
          <w:color w:val="000000" w:themeColor="text1"/>
          <w:lang w:val="fr-FR"/>
        </w:rPr>
      </w:pPr>
    </w:p>
    <w:p w14:paraId="18B81D2E" w14:textId="2BE52C30" w:rsidR="002A2845" w:rsidRPr="002231C8" w:rsidRDefault="00FF0420" w:rsidP="00DE2CF3">
      <w:pPr>
        <w:spacing w:after="0" w:line="240" w:lineRule="auto"/>
        <w:jc w:val="both"/>
        <w:rPr>
          <w:color w:val="000000" w:themeColor="text1"/>
          <w:lang w:val="fr-FR"/>
        </w:rPr>
      </w:pPr>
      <w:r w:rsidRPr="002231C8">
        <w:rPr>
          <w:rFonts w:ascii="Calibri" w:hAnsi="Calibri"/>
          <w:color w:val="000000" w:themeColor="text1"/>
          <w:lang w:val="fr-FR"/>
        </w:rPr>
        <w:t>Exemples de mesures à appliquer de la part des intervenants de la chaîne d'approvisionnement alimentaire</w:t>
      </w:r>
      <w:r w:rsidR="0043082C" w:rsidRPr="002231C8">
        <w:rPr>
          <w:rFonts w:ascii="Calibri" w:hAnsi="Calibri"/>
          <w:color w:val="000000" w:themeColor="text1"/>
          <w:lang w:val="fr-FR"/>
        </w:rPr>
        <w:t>:</w:t>
      </w:r>
    </w:p>
    <w:p w14:paraId="6A443856" w14:textId="1AE359B3" w:rsidR="00EA36F9" w:rsidRPr="002231C8" w:rsidRDefault="004A14D0" w:rsidP="000A58C3">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Améliorer les mécanismes de ségrégation à la source et de gestion des déchets</w:t>
      </w:r>
    </w:p>
    <w:p w14:paraId="5FA0DBC6" w14:textId="77777777" w:rsidR="004C0F21" w:rsidRPr="002231C8" w:rsidRDefault="004C0F21" w:rsidP="00DE2CF3">
      <w:pPr>
        <w:spacing w:after="0" w:line="240" w:lineRule="auto"/>
        <w:jc w:val="both"/>
        <w:rPr>
          <w:color w:val="000000" w:themeColor="text1"/>
          <w:lang w:val="fr-FR"/>
        </w:rPr>
      </w:pPr>
    </w:p>
    <w:p w14:paraId="391C3031" w14:textId="386E2480" w:rsidR="001D28B2" w:rsidRPr="002231C8" w:rsidRDefault="004A14D0" w:rsidP="00342AE2">
      <w:pPr>
        <w:pStyle w:val="ListParagraph"/>
        <w:numPr>
          <w:ilvl w:val="2"/>
          <w:numId w:val="35"/>
        </w:numPr>
        <w:spacing w:after="0" w:line="240" w:lineRule="auto"/>
        <w:jc w:val="both"/>
        <w:rPr>
          <w:b/>
          <w:caps/>
          <w:color w:val="000000" w:themeColor="text1"/>
          <w:lang w:val="fr-FR"/>
        </w:rPr>
      </w:pPr>
      <w:r w:rsidRPr="002231C8">
        <w:rPr>
          <w:rFonts w:ascii="Calibri" w:hAnsi="Calibri"/>
          <w:b/>
          <w:caps/>
          <w:color w:val="000000" w:themeColor="text1"/>
          <w:lang w:val="fr-FR"/>
        </w:rPr>
        <w:t>approches transversales</w:t>
      </w:r>
    </w:p>
    <w:p w14:paraId="0971ABE9" w14:textId="62C0BEEE" w:rsidR="00C67AC2" w:rsidRPr="002231C8" w:rsidRDefault="004A14D0" w:rsidP="00DE2CF3">
      <w:pPr>
        <w:spacing w:after="0" w:line="240" w:lineRule="auto"/>
        <w:jc w:val="both"/>
        <w:rPr>
          <w:color w:val="000000" w:themeColor="text1"/>
          <w:lang w:val="fr-FR"/>
        </w:rPr>
      </w:pPr>
      <w:r w:rsidRPr="002231C8">
        <w:rPr>
          <w:rFonts w:ascii="Calibri" w:hAnsi="Calibri"/>
          <w:color w:val="000000" w:themeColor="text1"/>
          <w:lang w:val="fr-FR"/>
        </w:rPr>
        <w:t>Cette section décrira les principes et mesures applicables de manière transversale à la prévention et à la réduction des pertes et des gaspillages alimentaires, à la récupération, à la réorientation et au recyclage des aliments.</w:t>
      </w:r>
    </w:p>
    <w:p w14:paraId="68DCB088" w14:textId="77777777" w:rsidR="00B7682C" w:rsidRPr="002231C8" w:rsidRDefault="00B7682C" w:rsidP="00DE2CF3">
      <w:pPr>
        <w:spacing w:after="0" w:line="240" w:lineRule="auto"/>
        <w:jc w:val="both"/>
        <w:rPr>
          <w:color w:val="000000" w:themeColor="text1"/>
          <w:lang w:val="fr-FR"/>
        </w:rPr>
      </w:pPr>
    </w:p>
    <w:p w14:paraId="756D35A8" w14:textId="6C56E87B" w:rsidR="00C67AC2" w:rsidRPr="002231C8" w:rsidRDefault="004A14D0" w:rsidP="00DE2CF3">
      <w:pPr>
        <w:spacing w:after="0" w:line="240" w:lineRule="auto"/>
        <w:jc w:val="both"/>
        <w:rPr>
          <w:color w:val="000000" w:themeColor="text1"/>
          <w:lang w:val="fr-FR"/>
        </w:rPr>
      </w:pPr>
      <w:r w:rsidRPr="002231C8">
        <w:rPr>
          <w:rFonts w:ascii="Calibri" w:hAnsi="Calibri"/>
          <w:color w:val="000000" w:themeColor="text1"/>
          <w:lang w:val="fr-FR"/>
        </w:rPr>
        <w:t>Parmi les exemples de questions transversales, mentionnons</w:t>
      </w:r>
      <w:r w:rsidR="0043082C" w:rsidRPr="002231C8">
        <w:rPr>
          <w:rFonts w:ascii="Calibri" w:hAnsi="Calibri"/>
          <w:color w:val="000000" w:themeColor="text1"/>
          <w:lang w:val="fr-FR"/>
        </w:rPr>
        <w:t>:</w:t>
      </w:r>
      <w:r w:rsidR="00F53CF4" w:rsidRPr="002231C8">
        <w:rPr>
          <w:color w:val="000000" w:themeColor="text1"/>
          <w:lang w:val="fr-FR"/>
        </w:rPr>
        <w:t xml:space="preserve"> </w:t>
      </w:r>
    </w:p>
    <w:p w14:paraId="00B58338" w14:textId="4E07C39E" w:rsidR="00F53CF4"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Produire des données pour alimenter la base de données probantes qui guidera les interventions.</w:t>
      </w:r>
    </w:p>
    <w:p w14:paraId="4E77B7F6" w14:textId="1D929D07" w:rsidR="00377208"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Élaborer des stratégies nationales.</w:t>
      </w:r>
    </w:p>
    <w:p w14:paraId="641A5BE1" w14:textId="493C5C04" w:rsidR="00364C48"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Aborder les problèmes liés à l’égalité des sexes.</w:t>
      </w:r>
    </w:p>
    <w:p w14:paraId="6243BAA7" w14:textId="5B6136BC" w:rsidR="00FD3491"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lastRenderedPageBreak/>
        <w:t>Promouvoir des partenariats et la collaboration entre les entreprises, les gouvernements et la société civile.</w:t>
      </w:r>
    </w:p>
    <w:p w14:paraId="5B5C726E" w14:textId="649B3B28" w:rsidR="00FD3491"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Développer et appliquer des technologies</w:t>
      </w:r>
    </w:p>
    <w:p w14:paraId="049ED708" w14:textId="1117AB6B" w:rsidR="00FD3491" w:rsidRPr="002231C8" w:rsidRDefault="004A14D0" w:rsidP="00F53CF4">
      <w:pPr>
        <w:pStyle w:val="ListParagraph"/>
        <w:numPr>
          <w:ilvl w:val="0"/>
          <w:numId w:val="11"/>
        </w:numPr>
        <w:spacing w:after="0" w:line="240" w:lineRule="auto"/>
        <w:jc w:val="both"/>
        <w:rPr>
          <w:rFonts w:cs="Arial"/>
          <w:color w:val="000000" w:themeColor="text1"/>
          <w:lang w:val="fr-FR"/>
        </w:rPr>
      </w:pPr>
      <w:r w:rsidRPr="002231C8">
        <w:rPr>
          <w:rFonts w:ascii="Calibri" w:hAnsi="Calibri" w:cs="Arial"/>
          <w:color w:val="000000" w:themeColor="text1"/>
          <w:lang w:val="fr-FR"/>
        </w:rPr>
        <w:t>Soutenir la recherche et le développement et encourager l'innovation.</w:t>
      </w:r>
    </w:p>
    <w:p w14:paraId="5CAC050D" w14:textId="77777777" w:rsidR="007577DC" w:rsidRPr="002231C8" w:rsidRDefault="007577DC" w:rsidP="00DE2CF3">
      <w:pPr>
        <w:spacing w:after="0" w:line="240" w:lineRule="auto"/>
        <w:jc w:val="both"/>
        <w:rPr>
          <w:color w:val="000000" w:themeColor="text1"/>
          <w:lang w:val="fr-FR"/>
        </w:rPr>
      </w:pPr>
    </w:p>
    <w:sectPr w:rsidR="007577DC" w:rsidRPr="002231C8" w:rsidSect="00AC01F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0473A" w14:textId="77777777" w:rsidR="00FF0420" w:rsidRDefault="00FF0420" w:rsidP="00D1126E">
      <w:pPr>
        <w:spacing w:after="0" w:line="240" w:lineRule="auto"/>
      </w:pPr>
      <w:r>
        <w:separator/>
      </w:r>
    </w:p>
  </w:endnote>
  <w:endnote w:type="continuationSeparator" w:id="0">
    <w:p w14:paraId="2F40A48F" w14:textId="77777777" w:rsidR="00FF0420" w:rsidRDefault="00FF0420" w:rsidP="00D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008102"/>
      <w:docPartObj>
        <w:docPartGallery w:val="Page Numbers (Bottom of Page)"/>
        <w:docPartUnique/>
      </w:docPartObj>
    </w:sdtPr>
    <w:sdtEndPr>
      <w:rPr>
        <w:noProof/>
      </w:rPr>
    </w:sdtEndPr>
    <w:sdtContent>
      <w:p w14:paraId="50ABF639" w14:textId="77777777" w:rsidR="00FF0420" w:rsidRDefault="00FF0420">
        <w:pPr>
          <w:pStyle w:val="Footer"/>
          <w:jc w:val="center"/>
        </w:pPr>
        <w:r>
          <w:fldChar w:fldCharType="begin"/>
        </w:r>
        <w:r>
          <w:instrText xml:space="preserve"> PAGE   \* MERGEFORMAT </w:instrText>
        </w:r>
        <w:r>
          <w:fldChar w:fldCharType="separate"/>
        </w:r>
        <w:r w:rsidR="00FD5745">
          <w:rPr>
            <w:noProof/>
          </w:rPr>
          <w:t>1</w:t>
        </w:r>
        <w:r>
          <w:rPr>
            <w:noProof/>
          </w:rPr>
          <w:fldChar w:fldCharType="end"/>
        </w:r>
      </w:p>
    </w:sdtContent>
  </w:sdt>
  <w:p w14:paraId="7011B9DA" w14:textId="77777777" w:rsidR="00FF0420" w:rsidRDefault="00FF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39ECB" w14:textId="77777777" w:rsidR="00FF0420" w:rsidRDefault="00FF0420" w:rsidP="00D1126E">
      <w:pPr>
        <w:spacing w:after="0" w:line="240" w:lineRule="auto"/>
      </w:pPr>
      <w:r>
        <w:separator/>
      </w:r>
    </w:p>
  </w:footnote>
  <w:footnote w:type="continuationSeparator" w:id="0">
    <w:p w14:paraId="41D9C143" w14:textId="77777777" w:rsidR="00FF0420" w:rsidRDefault="00FF0420" w:rsidP="00D11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D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77E7E"/>
    <w:multiLevelType w:val="hybridMultilevel"/>
    <w:tmpl w:val="F7D6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C1B"/>
    <w:multiLevelType w:val="hybridMultilevel"/>
    <w:tmpl w:val="6EBEE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32100"/>
    <w:multiLevelType w:val="hybridMultilevel"/>
    <w:tmpl w:val="66089A30"/>
    <w:lvl w:ilvl="0" w:tplc="069CF458">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8B2E88"/>
    <w:multiLevelType w:val="multilevel"/>
    <w:tmpl w:val="B4B2AB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B585944"/>
    <w:multiLevelType w:val="multilevel"/>
    <w:tmpl w:val="88967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61125B"/>
    <w:multiLevelType w:val="hybridMultilevel"/>
    <w:tmpl w:val="6A56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955D2F"/>
    <w:multiLevelType w:val="hybridMultilevel"/>
    <w:tmpl w:val="78EC673A"/>
    <w:lvl w:ilvl="0" w:tplc="54C811DC">
      <w:start w:val="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1303CF"/>
    <w:multiLevelType w:val="hybridMultilevel"/>
    <w:tmpl w:val="6100DA5E"/>
    <w:lvl w:ilvl="0" w:tplc="C2C6D8D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11367"/>
    <w:multiLevelType w:val="multilevel"/>
    <w:tmpl w:val="24B22F90"/>
    <w:lvl w:ilvl="0">
      <w:start w:val="7"/>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A0385"/>
    <w:multiLevelType w:val="multilevel"/>
    <w:tmpl w:val="46F48884"/>
    <w:lvl w:ilvl="0">
      <w:start w:val="8"/>
      <w:numFmt w:val="decimal"/>
      <w:lvlText w:val="%1"/>
      <w:lvlJc w:val="left"/>
      <w:pPr>
        <w:ind w:left="460" w:hanging="460"/>
      </w:pPr>
      <w:rPr>
        <w:rFonts w:hint="default"/>
      </w:rPr>
    </w:lvl>
    <w:lvl w:ilvl="1">
      <w:start w:val="2"/>
      <w:numFmt w:val="decimal"/>
      <w:lvlText w:val="%1.%2"/>
      <w:lvlJc w:val="left"/>
      <w:pPr>
        <w:ind w:left="640" w:hanging="4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0202FB3"/>
    <w:multiLevelType w:val="hybridMultilevel"/>
    <w:tmpl w:val="2934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34FA9"/>
    <w:multiLevelType w:val="hybridMultilevel"/>
    <w:tmpl w:val="BF2C9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051C6"/>
    <w:multiLevelType w:val="hybridMultilevel"/>
    <w:tmpl w:val="B884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72687"/>
    <w:multiLevelType w:val="multilevel"/>
    <w:tmpl w:val="6F1A9D5E"/>
    <w:lvl w:ilvl="0">
      <w:start w:val="8"/>
      <w:numFmt w:val="decimal"/>
      <w:lvlText w:val="%1"/>
      <w:lvlJc w:val="left"/>
      <w:pPr>
        <w:ind w:left="0" w:firstLine="0"/>
      </w:pPr>
      <w:rPr>
        <w:rFonts w:hint="default"/>
        <w:b/>
        <w:i/>
      </w:rPr>
    </w:lvl>
    <w:lvl w:ilvl="1">
      <w:start w:val="2"/>
      <w:numFmt w:val="decimal"/>
      <w:lvlText w:val="%1.%2"/>
      <w:lvlJc w:val="left"/>
      <w:pPr>
        <w:ind w:left="0" w:firstLine="0"/>
      </w:pPr>
      <w:rPr>
        <w:rFonts w:hint="default"/>
        <w:b/>
        <w:i/>
      </w:rPr>
    </w:lvl>
    <w:lvl w:ilvl="2">
      <w:start w:val="1"/>
      <w:numFmt w:val="decimal"/>
      <w:lvlText w:val="%1.%2.%3"/>
      <w:lvlJc w:val="left"/>
      <w:pPr>
        <w:ind w:left="0" w:firstLine="0"/>
      </w:pPr>
      <w:rPr>
        <w:rFonts w:hint="default"/>
        <w:b/>
        <w:i/>
      </w:rPr>
    </w:lvl>
    <w:lvl w:ilvl="3">
      <w:start w:val="1"/>
      <w:numFmt w:val="decimal"/>
      <w:lvlText w:val="%1.%2.%3.%4"/>
      <w:lvlJc w:val="left"/>
      <w:pPr>
        <w:ind w:left="0" w:firstLine="0"/>
      </w:pPr>
      <w:rPr>
        <w:rFonts w:hint="default"/>
        <w:b/>
        <w:i/>
      </w:rPr>
    </w:lvl>
    <w:lvl w:ilvl="4">
      <w:start w:val="1"/>
      <w:numFmt w:val="decimal"/>
      <w:lvlText w:val="%1.%2.%3.%4.%5"/>
      <w:lvlJc w:val="left"/>
      <w:pPr>
        <w:ind w:left="0" w:firstLine="0"/>
      </w:pPr>
      <w:rPr>
        <w:rFonts w:hint="default"/>
        <w:b/>
        <w:i/>
      </w:rPr>
    </w:lvl>
    <w:lvl w:ilvl="5">
      <w:start w:val="1"/>
      <w:numFmt w:val="decimal"/>
      <w:lvlText w:val="%1.%2.%3.%4.%5.%6"/>
      <w:lvlJc w:val="left"/>
      <w:pPr>
        <w:ind w:left="0" w:firstLine="0"/>
      </w:pPr>
      <w:rPr>
        <w:rFonts w:hint="default"/>
        <w:b/>
        <w:i/>
      </w:rPr>
    </w:lvl>
    <w:lvl w:ilvl="6">
      <w:start w:val="1"/>
      <w:numFmt w:val="decimal"/>
      <w:lvlText w:val="%1.%2.%3.%4.%5.%6.%7"/>
      <w:lvlJc w:val="left"/>
      <w:pPr>
        <w:ind w:left="360" w:hanging="360"/>
      </w:pPr>
      <w:rPr>
        <w:rFonts w:hint="default"/>
        <w:b/>
        <w:i/>
      </w:rPr>
    </w:lvl>
    <w:lvl w:ilvl="7">
      <w:start w:val="1"/>
      <w:numFmt w:val="decimal"/>
      <w:lvlText w:val="%1.%2.%3.%4.%5.%6.%7.%8"/>
      <w:lvlJc w:val="left"/>
      <w:pPr>
        <w:ind w:left="360" w:hanging="360"/>
      </w:pPr>
      <w:rPr>
        <w:rFonts w:hint="default"/>
        <w:b/>
        <w:i/>
      </w:rPr>
    </w:lvl>
    <w:lvl w:ilvl="8">
      <w:start w:val="1"/>
      <w:numFmt w:val="decimal"/>
      <w:lvlText w:val="%1.%2.%3.%4.%5.%6.%7.%8.%9"/>
      <w:lvlJc w:val="left"/>
      <w:pPr>
        <w:ind w:left="360" w:hanging="360"/>
      </w:pPr>
      <w:rPr>
        <w:rFonts w:hint="default"/>
        <w:b/>
        <w:i/>
      </w:rPr>
    </w:lvl>
  </w:abstractNum>
  <w:abstractNum w:abstractNumId="15" w15:restartNumberingAfterBreak="0">
    <w:nsid w:val="366A3F8B"/>
    <w:multiLevelType w:val="multilevel"/>
    <w:tmpl w:val="F1F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32218"/>
    <w:multiLevelType w:val="hybridMultilevel"/>
    <w:tmpl w:val="60843314"/>
    <w:lvl w:ilvl="0" w:tplc="0410000F">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7" w15:restartNumberingAfterBreak="0">
    <w:nsid w:val="37F03A90"/>
    <w:multiLevelType w:val="multilevel"/>
    <w:tmpl w:val="E8103908"/>
    <w:styleLink w:val="WWNum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91A4965"/>
    <w:multiLevelType w:val="multilevel"/>
    <w:tmpl w:val="B4B2AB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95F372F"/>
    <w:multiLevelType w:val="hybridMultilevel"/>
    <w:tmpl w:val="7B1C63E6"/>
    <w:lvl w:ilvl="0" w:tplc="A3E40EF2">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B323494"/>
    <w:multiLevelType w:val="hybridMultilevel"/>
    <w:tmpl w:val="8B443B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0B72B8"/>
    <w:multiLevelType w:val="hybridMultilevel"/>
    <w:tmpl w:val="C12E881C"/>
    <w:lvl w:ilvl="0" w:tplc="D9682422">
      <w:start w:val="1"/>
      <w:numFmt w:val="bullet"/>
      <w:lvlText w:val="-"/>
      <w:lvlJc w:val="left"/>
      <w:pPr>
        <w:ind w:left="360" w:hanging="360"/>
      </w:pPr>
      <w:rPr>
        <w:rFonts w:ascii="Times New Roman" w:eastAsiaTheme="minorHAnsi"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78A32F3"/>
    <w:multiLevelType w:val="hybridMultilevel"/>
    <w:tmpl w:val="B74A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EF2286"/>
    <w:multiLevelType w:val="hybridMultilevel"/>
    <w:tmpl w:val="5CF0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75046"/>
    <w:multiLevelType w:val="hybridMultilevel"/>
    <w:tmpl w:val="46FE1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DF7419"/>
    <w:multiLevelType w:val="hybridMultilevel"/>
    <w:tmpl w:val="4FE69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A02FBE"/>
    <w:multiLevelType w:val="hybridMultilevel"/>
    <w:tmpl w:val="391AF6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489310A"/>
    <w:multiLevelType w:val="hybridMultilevel"/>
    <w:tmpl w:val="2E9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54B5A"/>
    <w:multiLevelType w:val="multilevel"/>
    <w:tmpl w:val="570E118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6759D1"/>
    <w:multiLevelType w:val="hybridMultilevel"/>
    <w:tmpl w:val="BEF8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377715"/>
    <w:multiLevelType w:val="hybridMultilevel"/>
    <w:tmpl w:val="55D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46B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F17F58"/>
    <w:multiLevelType w:val="hybridMultilevel"/>
    <w:tmpl w:val="105E4E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F35A17"/>
    <w:multiLevelType w:val="hybridMultilevel"/>
    <w:tmpl w:val="9B02448C"/>
    <w:lvl w:ilvl="0" w:tplc="A3E40EF2">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78C62864"/>
    <w:multiLevelType w:val="multilevel"/>
    <w:tmpl w:val="79761FF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C65102E"/>
    <w:multiLevelType w:val="hybridMultilevel"/>
    <w:tmpl w:val="2236E85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7D3654"/>
    <w:multiLevelType w:val="hybridMultilevel"/>
    <w:tmpl w:val="F4589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31"/>
  </w:num>
  <w:num w:numId="4">
    <w:abstractNumId w:val="13"/>
  </w:num>
  <w:num w:numId="5">
    <w:abstractNumId w:val="1"/>
  </w:num>
  <w:num w:numId="6">
    <w:abstractNumId w:val="17"/>
  </w:num>
  <w:num w:numId="7">
    <w:abstractNumId w:val="6"/>
  </w:num>
  <w:num w:numId="8">
    <w:abstractNumId w:val="26"/>
  </w:num>
  <w:num w:numId="9">
    <w:abstractNumId w:val="14"/>
  </w:num>
  <w:num w:numId="10">
    <w:abstractNumId w:val="10"/>
  </w:num>
  <w:num w:numId="11">
    <w:abstractNumId w:val="7"/>
  </w:num>
  <w:num w:numId="12">
    <w:abstractNumId w:val="20"/>
  </w:num>
  <w:num w:numId="13">
    <w:abstractNumId w:val="22"/>
  </w:num>
  <w:num w:numId="14">
    <w:abstractNumId w:val="12"/>
  </w:num>
  <w:num w:numId="15">
    <w:abstractNumId w:val="25"/>
  </w:num>
  <w:num w:numId="16">
    <w:abstractNumId w:val="34"/>
  </w:num>
  <w:num w:numId="17">
    <w:abstractNumId w:val="29"/>
  </w:num>
  <w:num w:numId="18">
    <w:abstractNumId w:val="27"/>
  </w:num>
  <w:num w:numId="19">
    <w:abstractNumId w:val="21"/>
  </w:num>
  <w:num w:numId="20">
    <w:abstractNumId w:val="16"/>
  </w:num>
  <w:num w:numId="21">
    <w:abstractNumId w:val="5"/>
  </w:num>
  <w:num w:numId="22">
    <w:abstractNumId w:val="15"/>
  </w:num>
  <w:num w:numId="23">
    <w:abstractNumId w:val="28"/>
  </w:num>
  <w:num w:numId="24">
    <w:abstractNumId w:val="35"/>
  </w:num>
  <w:num w:numId="25">
    <w:abstractNumId w:val="9"/>
  </w:num>
  <w:num w:numId="26">
    <w:abstractNumId w:val="3"/>
  </w:num>
  <w:num w:numId="27">
    <w:abstractNumId w:val="19"/>
  </w:num>
  <w:num w:numId="28">
    <w:abstractNumId w:val="33"/>
  </w:num>
  <w:num w:numId="29">
    <w:abstractNumId w:val="4"/>
  </w:num>
  <w:num w:numId="30">
    <w:abstractNumId w:val="8"/>
  </w:num>
  <w:num w:numId="31">
    <w:abstractNumId w:val="32"/>
  </w:num>
  <w:num w:numId="32">
    <w:abstractNumId w:val="2"/>
  </w:num>
  <w:num w:numId="33">
    <w:abstractNumId w:val="24"/>
  </w:num>
  <w:num w:numId="34">
    <w:abstractNumId w:val="18"/>
  </w:num>
  <w:num w:numId="35">
    <w:abstractNumId w:val="0"/>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B2"/>
    <w:rsid w:val="00003415"/>
    <w:rsid w:val="00004DDE"/>
    <w:rsid w:val="00012BBC"/>
    <w:rsid w:val="000738EF"/>
    <w:rsid w:val="0009026E"/>
    <w:rsid w:val="000A1267"/>
    <w:rsid w:val="000A24D7"/>
    <w:rsid w:val="000A58C3"/>
    <w:rsid w:val="000C08E3"/>
    <w:rsid w:val="0010388F"/>
    <w:rsid w:val="00111A2A"/>
    <w:rsid w:val="00120F73"/>
    <w:rsid w:val="00130805"/>
    <w:rsid w:val="00131971"/>
    <w:rsid w:val="001428E9"/>
    <w:rsid w:val="00143548"/>
    <w:rsid w:val="00144C32"/>
    <w:rsid w:val="00145F6E"/>
    <w:rsid w:val="001469CF"/>
    <w:rsid w:val="00153ABD"/>
    <w:rsid w:val="00157253"/>
    <w:rsid w:val="00171640"/>
    <w:rsid w:val="00172FE4"/>
    <w:rsid w:val="0017651A"/>
    <w:rsid w:val="00180D68"/>
    <w:rsid w:val="001963FA"/>
    <w:rsid w:val="001B2A7A"/>
    <w:rsid w:val="001B4D82"/>
    <w:rsid w:val="001C0BA2"/>
    <w:rsid w:val="001C1D52"/>
    <w:rsid w:val="001C55F0"/>
    <w:rsid w:val="001D28B2"/>
    <w:rsid w:val="001D4686"/>
    <w:rsid w:val="001E2B92"/>
    <w:rsid w:val="001F18EB"/>
    <w:rsid w:val="002000C8"/>
    <w:rsid w:val="002150FA"/>
    <w:rsid w:val="002214D8"/>
    <w:rsid w:val="002231C8"/>
    <w:rsid w:val="00223441"/>
    <w:rsid w:val="002239E6"/>
    <w:rsid w:val="0022431E"/>
    <w:rsid w:val="002258F3"/>
    <w:rsid w:val="00236508"/>
    <w:rsid w:val="00243129"/>
    <w:rsid w:val="0026644C"/>
    <w:rsid w:val="00271A35"/>
    <w:rsid w:val="00271B0E"/>
    <w:rsid w:val="002A2845"/>
    <w:rsid w:val="002D01F4"/>
    <w:rsid w:val="002E2645"/>
    <w:rsid w:val="00300D6E"/>
    <w:rsid w:val="00300E2B"/>
    <w:rsid w:val="00305AF5"/>
    <w:rsid w:val="0031516C"/>
    <w:rsid w:val="00320DE6"/>
    <w:rsid w:val="00323263"/>
    <w:rsid w:val="00342AE2"/>
    <w:rsid w:val="0034318F"/>
    <w:rsid w:val="00352DAF"/>
    <w:rsid w:val="00355EDF"/>
    <w:rsid w:val="00364C48"/>
    <w:rsid w:val="00377208"/>
    <w:rsid w:val="003807C5"/>
    <w:rsid w:val="003951D0"/>
    <w:rsid w:val="003B72E9"/>
    <w:rsid w:val="003C53A7"/>
    <w:rsid w:val="003C5410"/>
    <w:rsid w:val="003E1EE8"/>
    <w:rsid w:val="003E2419"/>
    <w:rsid w:val="00405886"/>
    <w:rsid w:val="00407357"/>
    <w:rsid w:val="004171C4"/>
    <w:rsid w:val="00422BCC"/>
    <w:rsid w:val="0042445F"/>
    <w:rsid w:val="0043082C"/>
    <w:rsid w:val="00434F89"/>
    <w:rsid w:val="004516C7"/>
    <w:rsid w:val="00451E1D"/>
    <w:rsid w:val="004521BA"/>
    <w:rsid w:val="004615DC"/>
    <w:rsid w:val="00462AD0"/>
    <w:rsid w:val="004631D2"/>
    <w:rsid w:val="00473C9E"/>
    <w:rsid w:val="004847E9"/>
    <w:rsid w:val="004940E3"/>
    <w:rsid w:val="004A14D0"/>
    <w:rsid w:val="004C0F21"/>
    <w:rsid w:val="004C5EC1"/>
    <w:rsid w:val="004C733D"/>
    <w:rsid w:val="004D3676"/>
    <w:rsid w:val="004D78C7"/>
    <w:rsid w:val="004E6536"/>
    <w:rsid w:val="004F1898"/>
    <w:rsid w:val="004F7393"/>
    <w:rsid w:val="00502DF3"/>
    <w:rsid w:val="00503D13"/>
    <w:rsid w:val="0052044D"/>
    <w:rsid w:val="00523322"/>
    <w:rsid w:val="00542DF7"/>
    <w:rsid w:val="00543F73"/>
    <w:rsid w:val="00551E9D"/>
    <w:rsid w:val="00573B4F"/>
    <w:rsid w:val="00577B6B"/>
    <w:rsid w:val="00577C2C"/>
    <w:rsid w:val="00597EF7"/>
    <w:rsid w:val="005C01C5"/>
    <w:rsid w:val="005C0886"/>
    <w:rsid w:val="005D183F"/>
    <w:rsid w:val="005E195E"/>
    <w:rsid w:val="00602AC2"/>
    <w:rsid w:val="006044AA"/>
    <w:rsid w:val="00607B0B"/>
    <w:rsid w:val="00613634"/>
    <w:rsid w:val="00613BFE"/>
    <w:rsid w:val="00616BC6"/>
    <w:rsid w:val="006231BD"/>
    <w:rsid w:val="00626EBB"/>
    <w:rsid w:val="00632BF9"/>
    <w:rsid w:val="00642BD5"/>
    <w:rsid w:val="006735DF"/>
    <w:rsid w:val="00673FD8"/>
    <w:rsid w:val="006742F1"/>
    <w:rsid w:val="00675445"/>
    <w:rsid w:val="00676C02"/>
    <w:rsid w:val="00687798"/>
    <w:rsid w:val="00694F85"/>
    <w:rsid w:val="0069614E"/>
    <w:rsid w:val="006A7F7D"/>
    <w:rsid w:val="006B29E8"/>
    <w:rsid w:val="006B637A"/>
    <w:rsid w:val="006C06E8"/>
    <w:rsid w:val="006C363E"/>
    <w:rsid w:val="006C5BB0"/>
    <w:rsid w:val="006C62F7"/>
    <w:rsid w:val="006D282C"/>
    <w:rsid w:val="006D2F38"/>
    <w:rsid w:val="007212C1"/>
    <w:rsid w:val="007241D3"/>
    <w:rsid w:val="00735EA9"/>
    <w:rsid w:val="0073778D"/>
    <w:rsid w:val="00745EE5"/>
    <w:rsid w:val="0075353B"/>
    <w:rsid w:val="007577DC"/>
    <w:rsid w:val="00760C11"/>
    <w:rsid w:val="00767C37"/>
    <w:rsid w:val="007755BD"/>
    <w:rsid w:val="007775DD"/>
    <w:rsid w:val="00790A5D"/>
    <w:rsid w:val="007A000A"/>
    <w:rsid w:val="007B6B86"/>
    <w:rsid w:val="007C70AB"/>
    <w:rsid w:val="007D4FA7"/>
    <w:rsid w:val="007D5E20"/>
    <w:rsid w:val="007E696C"/>
    <w:rsid w:val="00811134"/>
    <w:rsid w:val="008143C5"/>
    <w:rsid w:val="00831468"/>
    <w:rsid w:val="008378CD"/>
    <w:rsid w:val="00842C3C"/>
    <w:rsid w:val="00842E02"/>
    <w:rsid w:val="00847D9B"/>
    <w:rsid w:val="00850EC0"/>
    <w:rsid w:val="00866132"/>
    <w:rsid w:val="0087258C"/>
    <w:rsid w:val="00877E55"/>
    <w:rsid w:val="008933A9"/>
    <w:rsid w:val="008A56D4"/>
    <w:rsid w:val="008A79F9"/>
    <w:rsid w:val="008B55F9"/>
    <w:rsid w:val="008C31E3"/>
    <w:rsid w:val="008C4F33"/>
    <w:rsid w:val="00902F3C"/>
    <w:rsid w:val="00916B43"/>
    <w:rsid w:val="009203EF"/>
    <w:rsid w:val="00932FDF"/>
    <w:rsid w:val="00936308"/>
    <w:rsid w:val="009366D1"/>
    <w:rsid w:val="0093749E"/>
    <w:rsid w:val="00937996"/>
    <w:rsid w:val="00953465"/>
    <w:rsid w:val="00953ED0"/>
    <w:rsid w:val="009601CD"/>
    <w:rsid w:val="00982FC3"/>
    <w:rsid w:val="0099223A"/>
    <w:rsid w:val="009A7146"/>
    <w:rsid w:val="009C4C0E"/>
    <w:rsid w:val="009E0F9F"/>
    <w:rsid w:val="00A22A28"/>
    <w:rsid w:val="00A4234B"/>
    <w:rsid w:val="00A47065"/>
    <w:rsid w:val="00A646F2"/>
    <w:rsid w:val="00A7263F"/>
    <w:rsid w:val="00A80D2B"/>
    <w:rsid w:val="00A915D1"/>
    <w:rsid w:val="00AB5EC6"/>
    <w:rsid w:val="00AB7B3C"/>
    <w:rsid w:val="00AC01F1"/>
    <w:rsid w:val="00AC369E"/>
    <w:rsid w:val="00AC57A0"/>
    <w:rsid w:val="00AD50C8"/>
    <w:rsid w:val="00AE4D74"/>
    <w:rsid w:val="00AF37F5"/>
    <w:rsid w:val="00B3670F"/>
    <w:rsid w:val="00B46370"/>
    <w:rsid w:val="00B52F42"/>
    <w:rsid w:val="00B61512"/>
    <w:rsid w:val="00B7682C"/>
    <w:rsid w:val="00B9233E"/>
    <w:rsid w:val="00BA264A"/>
    <w:rsid w:val="00BA2C25"/>
    <w:rsid w:val="00BC56B0"/>
    <w:rsid w:val="00BE65F9"/>
    <w:rsid w:val="00BF31EA"/>
    <w:rsid w:val="00BF5D17"/>
    <w:rsid w:val="00C015B1"/>
    <w:rsid w:val="00C06D60"/>
    <w:rsid w:val="00C11D53"/>
    <w:rsid w:val="00C1273E"/>
    <w:rsid w:val="00C16ADC"/>
    <w:rsid w:val="00C2312D"/>
    <w:rsid w:val="00C24D0B"/>
    <w:rsid w:val="00C3303F"/>
    <w:rsid w:val="00C54BD4"/>
    <w:rsid w:val="00C628FF"/>
    <w:rsid w:val="00C67006"/>
    <w:rsid w:val="00C67AC2"/>
    <w:rsid w:val="00C84541"/>
    <w:rsid w:val="00C978EB"/>
    <w:rsid w:val="00CA04D4"/>
    <w:rsid w:val="00CA7F3D"/>
    <w:rsid w:val="00CB7405"/>
    <w:rsid w:val="00CF5331"/>
    <w:rsid w:val="00D065C5"/>
    <w:rsid w:val="00D1126E"/>
    <w:rsid w:val="00D234E9"/>
    <w:rsid w:val="00D24E99"/>
    <w:rsid w:val="00D37A3F"/>
    <w:rsid w:val="00D436CC"/>
    <w:rsid w:val="00D565CB"/>
    <w:rsid w:val="00D71E70"/>
    <w:rsid w:val="00D808EC"/>
    <w:rsid w:val="00D93D51"/>
    <w:rsid w:val="00DB6B2D"/>
    <w:rsid w:val="00DB7797"/>
    <w:rsid w:val="00DE2CF3"/>
    <w:rsid w:val="00DE5318"/>
    <w:rsid w:val="00E13977"/>
    <w:rsid w:val="00E23E87"/>
    <w:rsid w:val="00E2534C"/>
    <w:rsid w:val="00E27DAC"/>
    <w:rsid w:val="00E30172"/>
    <w:rsid w:val="00E3124C"/>
    <w:rsid w:val="00E346E6"/>
    <w:rsid w:val="00E34712"/>
    <w:rsid w:val="00E374CD"/>
    <w:rsid w:val="00E379A9"/>
    <w:rsid w:val="00E441A5"/>
    <w:rsid w:val="00E55477"/>
    <w:rsid w:val="00E571D2"/>
    <w:rsid w:val="00E65AF7"/>
    <w:rsid w:val="00E76DAB"/>
    <w:rsid w:val="00E83185"/>
    <w:rsid w:val="00E93E05"/>
    <w:rsid w:val="00EA18A5"/>
    <w:rsid w:val="00EA2599"/>
    <w:rsid w:val="00EA36F9"/>
    <w:rsid w:val="00EC0FEA"/>
    <w:rsid w:val="00ED43A1"/>
    <w:rsid w:val="00EE0F3F"/>
    <w:rsid w:val="00F04F3D"/>
    <w:rsid w:val="00F31AF7"/>
    <w:rsid w:val="00F413BB"/>
    <w:rsid w:val="00F42C43"/>
    <w:rsid w:val="00F53CF4"/>
    <w:rsid w:val="00F76BD6"/>
    <w:rsid w:val="00F82F6F"/>
    <w:rsid w:val="00F960C7"/>
    <w:rsid w:val="00F965B0"/>
    <w:rsid w:val="00FB17C9"/>
    <w:rsid w:val="00FC4994"/>
    <w:rsid w:val="00FD3491"/>
    <w:rsid w:val="00FD5745"/>
    <w:rsid w:val="00FF04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E137"/>
  <w15:docId w15:val="{9516BB7D-7AEB-4D0E-A7D0-57A89634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B2"/>
    <w:rPr>
      <w:lang w:val="en-US"/>
    </w:rPr>
  </w:style>
  <w:style w:type="paragraph" w:styleId="Heading1">
    <w:name w:val="heading 1"/>
    <w:basedOn w:val="Normal"/>
    <w:next w:val="Normal"/>
    <w:link w:val="Heading1Char"/>
    <w:uiPriority w:val="9"/>
    <w:qFormat/>
    <w:rsid w:val="00BA2C2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it-IT" w:eastAsia="it-IT"/>
    </w:rPr>
  </w:style>
  <w:style w:type="paragraph" w:styleId="Heading5">
    <w:name w:val="heading 5"/>
    <w:basedOn w:val="Normal"/>
    <w:next w:val="Normal"/>
    <w:link w:val="Heading5Char"/>
    <w:uiPriority w:val="9"/>
    <w:unhideWhenUsed/>
    <w:qFormat/>
    <w:rsid w:val="004940E3"/>
    <w:pPr>
      <w:keepNext/>
      <w:keepLines/>
      <w:spacing w:before="40"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Numbered List Paragraph,References,List Paragraph (numbered (a)),Medium Grid 1 - Accent 21,Liste 1,ReferencesCxSpLast,List Bullet Mary,List Paragraph1,Colorful List - Accent 11,List Paragraph nowy,Texte Général,Paragraphe  revu"/>
    <w:basedOn w:val="Normal"/>
    <w:link w:val="ListParagraphChar"/>
    <w:uiPriority w:val="34"/>
    <w:qFormat/>
    <w:rsid w:val="001D28B2"/>
    <w:pPr>
      <w:ind w:left="720"/>
      <w:contextualSpacing/>
    </w:pPr>
  </w:style>
  <w:style w:type="character" w:styleId="CommentReference">
    <w:name w:val="annotation reference"/>
    <w:basedOn w:val="DefaultParagraphFont"/>
    <w:uiPriority w:val="99"/>
    <w:semiHidden/>
    <w:unhideWhenUsed/>
    <w:rsid w:val="001D28B2"/>
    <w:rPr>
      <w:sz w:val="16"/>
      <w:szCs w:val="16"/>
    </w:rPr>
  </w:style>
  <w:style w:type="paragraph" w:styleId="CommentText">
    <w:name w:val="annotation text"/>
    <w:basedOn w:val="Normal"/>
    <w:link w:val="CommentTextChar"/>
    <w:uiPriority w:val="99"/>
    <w:unhideWhenUsed/>
    <w:rsid w:val="001D28B2"/>
    <w:pPr>
      <w:spacing w:line="240" w:lineRule="auto"/>
    </w:pPr>
    <w:rPr>
      <w:sz w:val="20"/>
      <w:szCs w:val="20"/>
    </w:rPr>
  </w:style>
  <w:style w:type="character" w:customStyle="1" w:styleId="CommentTextChar">
    <w:name w:val="Comment Text Char"/>
    <w:basedOn w:val="DefaultParagraphFont"/>
    <w:link w:val="CommentText"/>
    <w:uiPriority w:val="99"/>
    <w:rsid w:val="001D28B2"/>
    <w:rPr>
      <w:sz w:val="20"/>
      <w:szCs w:val="20"/>
      <w:lang w:val="en-US"/>
    </w:rPr>
  </w:style>
  <w:style w:type="paragraph" w:styleId="BalloonText">
    <w:name w:val="Balloon Text"/>
    <w:basedOn w:val="Normal"/>
    <w:link w:val="BalloonTextChar"/>
    <w:uiPriority w:val="99"/>
    <w:semiHidden/>
    <w:unhideWhenUsed/>
    <w:rsid w:val="001D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B2"/>
    <w:rPr>
      <w:rFonts w:ascii="Segoe UI" w:hAnsi="Segoe UI" w:cs="Segoe UI"/>
      <w:sz w:val="18"/>
      <w:szCs w:val="18"/>
      <w:lang w:val="en-US"/>
    </w:rPr>
  </w:style>
  <w:style w:type="paragraph" w:styleId="Header">
    <w:name w:val="header"/>
    <w:basedOn w:val="Normal"/>
    <w:link w:val="HeaderChar"/>
    <w:uiPriority w:val="99"/>
    <w:unhideWhenUsed/>
    <w:rsid w:val="00D1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26E"/>
    <w:rPr>
      <w:lang w:val="en-US"/>
    </w:rPr>
  </w:style>
  <w:style w:type="paragraph" w:styleId="Footer">
    <w:name w:val="footer"/>
    <w:basedOn w:val="Normal"/>
    <w:link w:val="FooterChar"/>
    <w:uiPriority w:val="99"/>
    <w:unhideWhenUsed/>
    <w:rsid w:val="00D1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26E"/>
    <w:rPr>
      <w:lang w:val="en-US"/>
    </w:rPr>
  </w:style>
  <w:style w:type="paragraph" w:styleId="CommentSubject">
    <w:name w:val="annotation subject"/>
    <w:basedOn w:val="CommentText"/>
    <w:next w:val="CommentText"/>
    <w:link w:val="CommentSubjectChar"/>
    <w:uiPriority w:val="99"/>
    <w:semiHidden/>
    <w:unhideWhenUsed/>
    <w:rsid w:val="0010388F"/>
    <w:rPr>
      <w:b/>
      <w:bCs/>
    </w:rPr>
  </w:style>
  <w:style w:type="character" w:customStyle="1" w:styleId="CommentSubjectChar">
    <w:name w:val="Comment Subject Char"/>
    <w:basedOn w:val="CommentTextChar"/>
    <w:link w:val="CommentSubject"/>
    <w:uiPriority w:val="99"/>
    <w:semiHidden/>
    <w:rsid w:val="0010388F"/>
    <w:rPr>
      <w:b/>
      <w:bCs/>
      <w:sz w:val="20"/>
      <w:szCs w:val="20"/>
      <w:lang w:val="en-US"/>
    </w:rPr>
  </w:style>
  <w:style w:type="character" w:customStyle="1" w:styleId="Heading1Char">
    <w:name w:val="Heading 1 Char"/>
    <w:basedOn w:val="DefaultParagraphFont"/>
    <w:link w:val="Heading1"/>
    <w:uiPriority w:val="9"/>
    <w:rsid w:val="00BA2C25"/>
    <w:rPr>
      <w:rFonts w:asciiTheme="majorHAnsi" w:eastAsiaTheme="majorEastAsia" w:hAnsiTheme="majorHAnsi" w:cstheme="majorBidi"/>
      <w:color w:val="2E74B5" w:themeColor="accent1" w:themeShade="BF"/>
      <w:sz w:val="32"/>
      <w:szCs w:val="32"/>
      <w:lang w:val="it-IT" w:eastAsia="it-IT"/>
    </w:rPr>
  </w:style>
  <w:style w:type="character" w:customStyle="1" w:styleId="ListParagraphChar">
    <w:name w:val="List Paragraph Char"/>
    <w:aliases w:val="Bullets Char,Numbered List Paragraph Char,References Char,List Paragraph (numbered (a)) Char,Medium Grid 1 - Accent 21 Char,Liste 1 Char,ReferencesCxSpLast Char,List Bullet Mary Char,List Paragraph1 Char,List Paragraph nowy Char"/>
    <w:basedOn w:val="DefaultParagraphFont"/>
    <w:link w:val="ListParagraph"/>
    <w:uiPriority w:val="34"/>
    <w:qFormat/>
    <w:locked/>
    <w:rsid w:val="00BA2C25"/>
    <w:rPr>
      <w:lang w:val="en-US"/>
    </w:rPr>
  </w:style>
  <w:style w:type="numbering" w:customStyle="1" w:styleId="WWNum6">
    <w:name w:val="WWNum6"/>
    <w:basedOn w:val="NoList"/>
    <w:rsid w:val="00BA2C25"/>
    <w:pPr>
      <w:numPr>
        <w:numId w:val="6"/>
      </w:numPr>
    </w:pPr>
  </w:style>
  <w:style w:type="numbering" w:customStyle="1" w:styleId="WWNum11">
    <w:name w:val="WWNum11"/>
    <w:basedOn w:val="NoList"/>
    <w:rsid w:val="002214D8"/>
    <w:pPr>
      <w:numPr>
        <w:numId w:val="16"/>
      </w:numPr>
    </w:pPr>
  </w:style>
  <w:style w:type="paragraph" w:styleId="NormalWeb">
    <w:name w:val="Normal (Web)"/>
    <w:basedOn w:val="Normal"/>
    <w:uiPriority w:val="99"/>
    <w:unhideWhenUsed/>
    <w:rsid w:val="00F82F6F"/>
    <w:pPr>
      <w:spacing w:before="100" w:beforeAutospacing="1" w:after="100" w:afterAutospacing="1" w:line="240" w:lineRule="auto"/>
    </w:pPr>
    <w:rPr>
      <w:rFonts w:ascii="Times New Roman" w:hAnsi="Times New Roman" w:cs="Times New Roman"/>
      <w:sz w:val="24"/>
      <w:szCs w:val="24"/>
      <w:lang w:val="it-IT" w:eastAsia="it-IT"/>
    </w:rPr>
  </w:style>
  <w:style w:type="character" w:customStyle="1" w:styleId="Heading5Char">
    <w:name w:val="Heading 5 Char"/>
    <w:basedOn w:val="DefaultParagraphFont"/>
    <w:link w:val="Heading5"/>
    <w:uiPriority w:val="9"/>
    <w:rsid w:val="004940E3"/>
    <w:rPr>
      <w:rFonts w:asciiTheme="majorHAnsi" w:eastAsiaTheme="majorEastAsia" w:hAnsiTheme="majorHAnsi" w:cstheme="majorBidi"/>
      <w:color w:val="2E74B5" w:themeColor="accent1" w:themeShade="BF"/>
      <w:lang w:val="en-US"/>
    </w:rPr>
  </w:style>
  <w:style w:type="paragraph" w:styleId="FootnoteText">
    <w:name w:val="footnote text"/>
    <w:basedOn w:val="Normal"/>
    <w:link w:val="FootnoteTextChar"/>
    <w:uiPriority w:val="99"/>
    <w:unhideWhenUsed/>
    <w:rsid w:val="00573B4F"/>
    <w:pPr>
      <w:spacing w:before="120"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573B4F"/>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73B4F"/>
    <w:rPr>
      <w:vertAlign w:val="superscript"/>
    </w:rPr>
  </w:style>
  <w:style w:type="character" w:customStyle="1" w:styleId="apple-converted-space">
    <w:name w:val="apple-converted-space"/>
    <w:basedOn w:val="DefaultParagraphFont"/>
    <w:rsid w:val="00D065C5"/>
  </w:style>
  <w:style w:type="character" w:styleId="Hyperlink">
    <w:name w:val="Hyperlink"/>
    <w:basedOn w:val="DefaultParagraphFont"/>
    <w:uiPriority w:val="99"/>
    <w:semiHidden/>
    <w:unhideWhenUsed/>
    <w:rsid w:val="00F96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4245">
      <w:bodyDiv w:val="1"/>
      <w:marLeft w:val="0"/>
      <w:marRight w:val="0"/>
      <w:marTop w:val="0"/>
      <w:marBottom w:val="0"/>
      <w:divBdr>
        <w:top w:val="none" w:sz="0" w:space="0" w:color="auto"/>
        <w:left w:val="none" w:sz="0" w:space="0" w:color="auto"/>
        <w:bottom w:val="none" w:sz="0" w:space="0" w:color="auto"/>
        <w:right w:val="none" w:sz="0" w:space="0" w:color="auto"/>
      </w:divBdr>
    </w:div>
    <w:div w:id="609513964">
      <w:bodyDiv w:val="1"/>
      <w:marLeft w:val="0"/>
      <w:marRight w:val="0"/>
      <w:marTop w:val="0"/>
      <w:marBottom w:val="0"/>
      <w:divBdr>
        <w:top w:val="none" w:sz="0" w:space="0" w:color="auto"/>
        <w:left w:val="none" w:sz="0" w:space="0" w:color="auto"/>
        <w:bottom w:val="none" w:sz="0" w:space="0" w:color="auto"/>
        <w:right w:val="none" w:sz="0" w:space="0" w:color="auto"/>
      </w:divBdr>
    </w:div>
    <w:div w:id="658076801">
      <w:bodyDiv w:val="1"/>
      <w:marLeft w:val="0"/>
      <w:marRight w:val="0"/>
      <w:marTop w:val="0"/>
      <w:marBottom w:val="0"/>
      <w:divBdr>
        <w:top w:val="none" w:sz="0" w:space="0" w:color="auto"/>
        <w:left w:val="none" w:sz="0" w:space="0" w:color="auto"/>
        <w:bottom w:val="none" w:sz="0" w:space="0" w:color="auto"/>
        <w:right w:val="none" w:sz="0" w:space="0" w:color="auto"/>
      </w:divBdr>
      <w:divsChild>
        <w:div w:id="290135513">
          <w:marLeft w:val="0"/>
          <w:marRight w:val="0"/>
          <w:marTop w:val="0"/>
          <w:marBottom w:val="0"/>
          <w:divBdr>
            <w:top w:val="none" w:sz="0" w:space="0" w:color="auto"/>
            <w:left w:val="none" w:sz="0" w:space="0" w:color="auto"/>
            <w:bottom w:val="none" w:sz="0" w:space="0" w:color="auto"/>
            <w:right w:val="none" w:sz="0" w:space="0" w:color="auto"/>
          </w:divBdr>
          <w:divsChild>
            <w:div w:id="853763757">
              <w:marLeft w:val="0"/>
              <w:marRight w:val="0"/>
              <w:marTop w:val="0"/>
              <w:marBottom w:val="0"/>
              <w:divBdr>
                <w:top w:val="none" w:sz="0" w:space="0" w:color="auto"/>
                <w:left w:val="none" w:sz="0" w:space="0" w:color="auto"/>
                <w:bottom w:val="none" w:sz="0" w:space="0" w:color="auto"/>
                <w:right w:val="none" w:sz="0" w:space="0" w:color="auto"/>
              </w:divBdr>
              <w:divsChild>
                <w:div w:id="1322847688">
                  <w:marLeft w:val="0"/>
                  <w:marRight w:val="0"/>
                  <w:marTop w:val="0"/>
                  <w:marBottom w:val="0"/>
                  <w:divBdr>
                    <w:top w:val="none" w:sz="0" w:space="0" w:color="auto"/>
                    <w:left w:val="none" w:sz="0" w:space="0" w:color="auto"/>
                    <w:bottom w:val="none" w:sz="0" w:space="0" w:color="auto"/>
                    <w:right w:val="none" w:sz="0" w:space="0" w:color="auto"/>
                  </w:divBdr>
                  <w:divsChild>
                    <w:div w:id="14034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26320">
      <w:bodyDiv w:val="1"/>
      <w:marLeft w:val="0"/>
      <w:marRight w:val="0"/>
      <w:marTop w:val="0"/>
      <w:marBottom w:val="0"/>
      <w:divBdr>
        <w:top w:val="none" w:sz="0" w:space="0" w:color="auto"/>
        <w:left w:val="none" w:sz="0" w:space="0" w:color="auto"/>
        <w:bottom w:val="none" w:sz="0" w:space="0" w:color="auto"/>
        <w:right w:val="none" w:sz="0" w:space="0" w:color="auto"/>
      </w:divBdr>
      <w:divsChild>
        <w:div w:id="827213433">
          <w:marLeft w:val="0"/>
          <w:marRight w:val="0"/>
          <w:marTop w:val="0"/>
          <w:marBottom w:val="0"/>
          <w:divBdr>
            <w:top w:val="none" w:sz="0" w:space="0" w:color="auto"/>
            <w:left w:val="none" w:sz="0" w:space="0" w:color="auto"/>
            <w:bottom w:val="none" w:sz="0" w:space="0" w:color="auto"/>
            <w:right w:val="none" w:sz="0" w:space="0" w:color="auto"/>
          </w:divBdr>
          <w:divsChild>
            <w:div w:id="190803830">
              <w:marLeft w:val="0"/>
              <w:marRight w:val="0"/>
              <w:marTop w:val="0"/>
              <w:marBottom w:val="0"/>
              <w:divBdr>
                <w:top w:val="none" w:sz="0" w:space="0" w:color="auto"/>
                <w:left w:val="none" w:sz="0" w:space="0" w:color="auto"/>
                <w:bottom w:val="none" w:sz="0" w:space="0" w:color="auto"/>
                <w:right w:val="none" w:sz="0" w:space="0" w:color="auto"/>
              </w:divBdr>
              <w:divsChild>
                <w:div w:id="3143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4258">
      <w:bodyDiv w:val="1"/>
      <w:marLeft w:val="0"/>
      <w:marRight w:val="0"/>
      <w:marTop w:val="0"/>
      <w:marBottom w:val="0"/>
      <w:divBdr>
        <w:top w:val="none" w:sz="0" w:space="0" w:color="auto"/>
        <w:left w:val="none" w:sz="0" w:space="0" w:color="auto"/>
        <w:bottom w:val="none" w:sz="0" w:space="0" w:color="auto"/>
        <w:right w:val="none" w:sz="0" w:space="0" w:color="auto"/>
      </w:divBdr>
      <w:divsChild>
        <w:div w:id="1545561167">
          <w:marLeft w:val="0"/>
          <w:marRight w:val="0"/>
          <w:marTop w:val="0"/>
          <w:marBottom w:val="0"/>
          <w:divBdr>
            <w:top w:val="none" w:sz="0" w:space="0" w:color="auto"/>
            <w:left w:val="none" w:sz="0" w:space="0" w:color="auto"/>
            <w:bottom w:val="none" w:sz="0" w:space="0" w:color="auto"/>
            <w:right w:val="none" w:sz="0" w:space="0" w:color="auto"/>
          </w:divBdr>
          <w:divsChild>
            <w:div w:id="1671057529">
              <w:marLeft w:val="0"/>
              <w:marRight w:val="0"/>
              <w:marTop w:val="0"/>
              <w:marBottom w:val="0"/>
              <w:divBdr>
                <w:top w:val="none" w:sz="0" w:space="0" w:color="auto"/>
                <w:left w:val="none" w:sz="0" w:space="0" w:color="auto"/>
                <w:bottom w:val="none" w:sz="0" w:space="0" w:color="auto"/>
                <w:right w:val="none" w:sz="0" w:space="0" w:color="auto"/>
              </w:divBdr>
              <w:divsChild>
                <w:div w:id="1890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2340</Words>
  <Characters>13344</Characters>
  <Application>Microsoft Office Word</Application>
  <DocSecurity>0</DocSecurity>
  <Lines>111</Lines>
  <Paragraphs>31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Njie, Divine (SP4)</dc:creator>
  <cp:lastModifiedBy>Blanck, Max (ESA)</cp:lastModifiedBy>
  <cp:revision>5</cp:revision>
  <cp:lastPrinted>2019-06-21T19:42:00Z</cp:lastPrinted>
  <dcterms:created xsi:type="dcterms:W3CDTF">2019-07-17T23:03:00Z</dcterms:created>
  <dcterms:modified xsi:type="dcterms:W3CDTF">2019-07-19T09:24:00Z</dcterms:modified>
</cp:coreProperties>
</file>