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8741A" w14:textId="77777777" w:rsidR="00822A48" w:rsidRPr="001922B4" w:rsidRDefault="00CE6554" w:rsidP="00A7595B">
      <w:pPr>
        <w:spacing w:after="60"/>
        <w:jc w:val="center"/>
        <w:rPr>
          <w:rFonts w:asciiTheme="minorHAnsi" w:hAnsiTheme="minorHAnsi"/>
          <w:b/>
          <w:bCs/>
          <w:color w:val="244061" w:themeColor="accent1" w:themeShade="80"/>
          <w:szCs w:val="24"/>
        </w:rPr>
      </w:pPr>
      <w:r>
        <w:rPr>
          <w:rFonts w:asciiTheme="minorHAnsi" w:hAnsiTheme="minorHAnsi"/>
          <w:b/>
          <w:bCs/>
          <w:color w:val="244061" w:themeColor="accent1" w:themeShade="80"/>
          <w:szCs w:val="24"/>
        </w:rPr>
        <w:t>Harnessing t</w:t>
      </w:r>
      <w:r w:rsidR="00770620" w:rsidRPr="001922B4">
        <w:rPr>
          <w:rFonts w:asciiTheme="minorHAnsi" w:hAnsiTheme="minorHAnsi"/>
          <w:b/>
          <w:bCs/>
          <w:color w:val="244061" w:themeColor="accent1" w:themeShade="80"/>
          <w:szCs w:val="24"/>
        </w:rPr>
        <w:t xml:space="preserve">he role of </w:t>
      </w:r>
      <w:r w:rsidR="004A350A" w:rsidRPr="001922B4">
        <w:rPr>
          <w:rFonts w:asciiTheme="minorHAnsi" w:hAnsiTheme="minorHAnsi"/>
          <w:b/>
          <w:bCs/>
          <w:color w:val="244061" w:themeColor="accent1" w:themeShade="80"/>
          <w:szCs w:val="24"/>
        </w:rPr>
        <w:t xml:space="preserve">Rural Organizations </w:t>
      </w:r>
      <w:r w:rsidR="00A7595B" w:rsidRPr="001922B4">
        <w:rPr>
          <w:rFonts w:asciiTheme="minorHAnsi" w:hAnsiTheme="minorHAnsi"/>
          <w:b/>
          <w:bCs/>
          <w:color w:val="244061" w:themeColor="accent1" w:themeShade="80"/>
          <w:szCs w:val="24"/>
        </w:rPr>
        <w:t>in</w:t>
      </w:r>
      <w:r w:rsidR="004A350A" w:rsidRPr="001922B4">
        <w:rPr>
          <w:rFonts w:asciiTheme="minorHAnsi" w:hAnsiTheme="minorHAnsi"/>
          <w:b/>
          <w:bCs/>
          <w:color w:val="244061" w:themeColor="accent1" w:themeShade="80"/>
          <w:szCs w:val="24"/>
        </w:rPr>
        <w:t xml:space="preserve"> Social Protection </w:t>
      </w:r>
    </w:p>
    <w:p w14:paraId="2DFB054E" w14:textId="77777777" w:rsidR="00FF61AA" w:rsidRPr="001922B4" w:rsidRDefault="00127929" w:rsidP="00A41921">
      <w:pPr>
        <w:spacing w:after="60"/>
        <w:jc w:val="center"/>
        <w:rPr>
          <w:rFonts w:asciiTheme="minorHAnsi" w:hAnsiTheme="minorHAnsi"/>
          <w:b/>
          <w:bCs/>
          <w:i/>
          <w:iCs/>
          <w:color w:val="244061" w:themeColor="accent1" w:themeShade="80"/>
          <w:szCs w:val="24"/>
        </w:rPr>
      </w:pPr>
      <w:r w:rsidRPr="001922B4">
        <w:rPr>
          <w:rFonts w:asciiTheme="minorHAnsi" w:hAnsiTheme="minorHAnsi"/>
          <w:b/>
          <w:bCs/>
          <w:i/>
          <w:iCs/>
          <w:color w:val="244061" w:themeColor="accent1" w:themeShade="80"/>
          <w:szCs w:val="24"/>
        </w:rPr>
        <w:t>Call for</w:t>
      </w:r>
      <w:r w:rsidR="00D327F6">
        <w:rPr>
          <w:rFonts w:asciiTheme="minorHAnsi" w:hAnsiTheme="minorHAnsi"/>
          <w:b/>
          <w:bCs/>
          <w:i/>
          <w:iCs/>
          <w:color w:val="244061" w:themeColor="accent1" w:themeShade="80"/>
          <w:szCs w:val="24"/>
        </w:rPr>
        <w:t xml:space="preserve"> proposals</w:t>
      </w:r>
      <w:r w:rsidR="00E144F0" w:rsidRPr="001922B4">
        <w:rPr>
          <w:rFonts w:asciiTheme="minorHAnsi" w:hAnsiTheme="minorHAnsi"/>
          <w:b/>
          <w:bCs/>
          <w:i/>
          <w:iCs/>
          <w:color w:val="244061" w:themeColor="accent1" w:themeShade="80"/>
          <w:szCs w:val="24"/>
        </w:rPr>
        <w:t xml:space="preserve"> </w:t>
      </w:r>
      <w:r w:rsidR="00D327F6">
        <w:rPr>
          <w:rFonts w:asciiTheme="minorHAnsi" w:hAnsiTheme="minorHAnsi"/>
          <w:b/>
          <w:bCs/>
          <w:i/>
          <w:iCs/>
          <w:color w:val="244061" w:themeColor="accent1" w:themeShade="80"/>
          <w:szCs w:val="24"/>
        </w:rPr>
        <w:t xml:space="preserve">for </w:t>
      </w:r>
      <w:r w:rsidR="00E144F0" w:rsidRPr="001922B4">
        <w:rPr>
          <w:rFonts w:asciiTheme="minorHAnsi" w:hAnsiTheme="minorHAnsi"/>
          <w:b/>
          <w:bCs/>
          <w:i/>
          <w:iCs/>
          <w:color w:val="244061" w:themeColor="accent1" w:themeShade="80"/>
          <w:szCs w:val="24"/>
        </w:rPr>
        <w:t xml:space="preserve">an </w:t>
      </w:r>
      <w:r w:rsidR="004A350A" w:rsidRPr="001922B4">
        <w:rPr>
          <w:rFonts w:asciiTheme="minorHAnsi" w:hAnsiTheme="minorHAnsi"/>
          <w:b/>
          <w:bCs/>
          <w:i/>
          <w:iCs/>
          <w:color w:val="244061" w:themeColor="accent1" w:themeShade="80"/>
          <w:szCs w:val="24"/>
        </w:rPr>
        <w:t>INVENTORY</w:t>
      </w:r>
      <w:r w:rsidR="00F557DE" w:rsidRPr="001922B4">
        <w:rPr>
          <w:rFonts w:asciiTheme="minorHAnsi" w:hAnsiTheme="minorHAnsi"/>
          <w:b/>
          <w:bCs/>
          <w:i/>
          <w:iCs/>
          <w:color w:val="244061" w:themeColor="accent1" w:themeShade="80"/>
          <w:szCs w:val="24"/>
        </w:rPr>
        <w:t xml:space="preserve"> of </w:t>
      </w:r>
      <w:r w:rsidR="00052F8B" w:rsidRPr="001922B4">
        <w:rPr>
          <w:rFonts w:asciiTheme="minorHAnsi" w:hAnsiTheme="minorHAnsi"/>
          <w:b/>
          <w:bCs/>
          <w:i/>
          <w:iCs/>
          <w:color w:val="244061" w:themeColor="accent1" w:themeShade="80"/>
          <w:szCs w:val="24"/>
        </w:rPr>
        <w:t>practices</w:t>
      </w:r>
    </w:p>
    <w:p w14:paraId="12073E7B" w14:textId="7B12B9EE" w:rsidR="003B6F1A" w:rsidRPr="005F2BD1" w:rsidRDefault="001E7D1E" w:rsidP="009B03A4">
      <w:pPr>
        <w:spacing w:after="60"/>
        <w:jc w:val="both"/>
        <w:rPr>
          <w:rFonts w:asciiTheme="minorHAnsi" w:hAnsiTheme="minorHAnsi"/>
          <w:sz w:val="22"/>
        </w:rPr>
      </w:pPr>
      <w:r w:rsidRPr="005F2BD1">
        <w:rPr>
          <w:rFonts w:asciiTheme="minorHAnsi" w:hAnsiTheme="minorHAnsi"/>
          <w:bCs/>
          <w:sz w:val="22"/>
        </w:rPr>
        <w:t>S</w:t>
      </w:r>
      <w:r w:rsidR="001922B4" w:rsidRPr="005F2BD1">
        <w:rPr>
          <w:rFonts w:asciiTheme="minorHAnsi" w:hAnsiTheme="minorHAnsi"/>
          <w:bCs/>
          <w:sz w:val="22"/>
        </w:rPr>
        <w:t xml:space="preserve">ocial </w:t>
      </w:r>
      <w:r w:rsidRPr="005F2BD1">
        <w:rPr>
          <w:rFonts w:asciiTheme="minorHAnsi" w:hAnsiTheme="minorHAnsi"/>
          <w:bCs/>
          <w:sz w:val="22"/>
        </w:rPr>
        <w:t>P</w:t>
      </w:r>
      <w:r w:rsidR="001922B4" w:rsidRPr="005F2BD1">
        <w:rPr>
          <w:rFonts w:asciiTheme="minorHAnsi" w:hAnsiTheme="minorHAnsi"/>
          <w:bCs/>
          <w:sz w:val="22"/>
        </w:rPr>
        <w:t>rotection</w:t>
      </w:r>
      <w:r w:rsidR="00560CE1">
        <w:rPr>
          <w:rFonts w:asciiTheme="minorHAnsi" w:hAnsiTheme="minorHAnsi"/>
          <w:bCs/>
          <w:sz w:val="22"/>
        </w:rPr>
        <w:t xml:space="preserve"> (SP)</w:t>
      </w:r>
      <w:r w:rsidR="001922B4" w:rsidRPr="005F2BD1">
        <w:rPr>
          <w:rFonts w:asciiTheme="minorHAnsi" w:hAnsiTheme="minorHAnsi"/>
          <w:bCs/>
          <w:sz w:val="22"/>
        </w:rPr>
        <w:t xml:space="preserve"> is a set of measures of social assistance, insurance, financial and social services, </w:t>
      </w:r>
      <w:r w:rsidRPr="005F2BD1">
        <w:rPr>
          <w:rFonts w:asciiTheme="minorHAnsi" w:hAnsiTheme="minorHAnsi"/>
          <w:bCs/>
          <w:sz w:val="22"/>
        </w:rPr>
        <w:t xml:space="preserve">indispensable </w:t>
      </w:r>
      <w:r w:rsidR="001922B4" w:rsidRPr="005F2BD1">
        <w:rPr>
          <w:rFonts w:asciiTheme="minorHAnsi" w:hAnsiTheme="minorHAnsi"/>
          <w:bCs/>
          <w:sz w:val="22"/>
        </w:rPr>
        <w:t>for alleviating destitution, poverty and vulnerability</w:t>
      </w:r>
      <w:r w:rsidRPr="005F2BD1">
        <w:rPr>
          <w:rFonts w:asciiTheme="minorHAnsi" w:hAnsiTheme="minorHAnsi"/>
          <w:bCs/>
          <w:sz w:val="22"/>
        </w:rPr>
        <w:t xml:space="preserve"> </w:t>
      </w:r>
      <w:r w:rsidR="007066F9" w:rsidRPr="005F2BD1">
        <w:rPr>
          <w:rFonts w:asciiTheme="minorHAnsi" w:hAnsiTheme="minorHAnsi"/>
          <w:bCs/>
          <w:sz w:val="22"/>
        </w:rPr>
        <w:t>for rural smallholders</w:t>
      </w:r>
      <w:r w:rsidRPr="005F2BD1">
        <w:rPr>
          <w:rFonts w:asciiTheme="minorHAnsi" w:hAnsiTheme="minorHAnsi"/>
          <w:bCs/>
          <w:sz w:val="22"/>
        </w:rPr>
        <w:t xml:space="preserve"> and </w:t>
      </w:r>
      <w:r w:rsidR="007066F9" w:rsidRPr="005F2BD1">
        <w:rPr>
          <w:rFonts w:asciiTheme="minorHAnsi" w:hAnsiTheme="minorHAnsi"/>
          <w:bCs/>
          <w:sz w:val="22"/>
        </w:rPr>
        <w:t>labourers</w:t>
      </w:r>
      <w:r w:rsidRPr="005F2BD1">
        <w:rPr>
          <w:rFonts w:asciiTheme="minorHAnsi" w:hAnsiTheme="minorHAnsi"/>
          <w:bCs/>
          <w:sz w:val="22"/>
        </w:rPr>
        <w:t xml:space="preserve">. </w:t>
      </w:r>
      <w:r w:rsidR="007066F9" w:rsidRPr="005F2BD1">
        <w:rPr>
          <w:rFonts w:asciiTheme="minorHAnsi" w:hAnsiTheme="minorHAnsi"/>
          <w:bCs/>
          <w:sz w:val="22"/>
        </w:rPr>
        <w:t xml:space="preserve">Governments </w:t>
      </w:r>
      <w:r w:rsidR="00662473" w:rsidRPr="005F2BD1">
        <w:rPr>
          <w:rFonts w:asciiTheme="minorHAnsi" w:hAnsiTheme="minorHAnsi"/>
          <w:bCs/>
          <w:sz w:val="22"/>
        </w:rPr>
        <w:t xml:space="preserve">are </w:t>
      </w:r>
      <w:r w:rsidR="007066F9" w:rsidRPr="005F2BD1">
        <w:rPr>
          <w:rFonts w:asciiTheme="minorHAnsi" w:hAnsiTheme="minorHAnsi"/>
          <w:bCs/>
          <w:sz w:val="22"/>
        </w:rPr>
        <w:t>increasingly adopt</w:t>
      </w:r>
      <w:r w:rsidR="00662473" w:rsidRPr="005F2BD1">
        <w:rPr>
          <w:rFonts w:asciiTheme="minorHAnsi" w:hAnsiTheme="minorHAnsi"/>
          <w:bCs/>
          <w:sz w:val="22"/>
        </w:rPr>
        <w:t>ing</w:t>
      </w:r>
      <w:r w:rsidR="007066F9" w:rsidRPr="005F2BD1">
        <w:rPr>
          <w:rFonts w:asciiTheme="minorHAnsi" w:hAnsiTheme="minorHAnsi"/>
          <w:bCs/>
          <w:sz w:val="22"/>
        </w:rPr>
        <w:t xml:space="preserve"> SP</w:t>
      </w:r>
      <w:r w:rsidRPr="005F2BD1">
        <w:rPr>
          <w:rFonts w:asciiTheme="minorHAnsi" w:hAnsiTheme="minorHAnsi"/>
          <w:bCs/>
          <w:sz w:val="22"/>
        </w:rPr>
        <w:t xml:space="preserve"> as a strategy </w:t>
      </w:r>
      <w:r w:rsidR="007066F9" w:rsidRPr="005F2BD1">
        <w:rPr>
          <w:rFonts w:asciiTheme="minorHAnsi" w:hAnsiTheme="minorHAnsi"/>
          <w:bCs/>
          <w:sz w:val="22"/>
        </w:rPr>
        <w:t xml:space="preserve">to trigger and </w:t>
      </w:r>
      <w:r w:rsidRPr="005F2BD1">
        <w:rPr>
          <w:rFonts w:asciiTheme="minorHAnsi" w:hAnsiTheme="minorHAnsi"/>
          <w:bCs/>
          <w:sz w:val="22"/>
        </w:rPr>
        <w:t xml:space="preserve">sustain agricultural growth. </w:t>
      </w:r>
      <w:r w:rsidR="00662473" w:rsidRPr="005F2BD1">
        <w:rPr>
          <w:rFonts w:asciiTheme="minorHAnsi" w:hAnsiTheme="minorHAnsi"/>
          <w:bCs/>
          <w:sz w:val="22"/>
        </w:rPr>
        <w:t xml:space="preserve">However, </w:t>
      </w:r>
      <w:r w:rsidR="003B6F1A" w:rsidRPr="005F2BD1">
        <w:rPr>
          <w:rFonts w:asciiTheme="minorHAnsi" w:hAnsiTheme="minorHAnsi"/>
          <w:sz w:val="22"/>
        </w:rPr>
        <w:t>the</w:t>
      </w:r>
      <w:r w:rsidR="00785173" w:rsidRPr="005F2BD1">
        <w:rPr>
          <w:rFonts w:asciiTheme="minorHAnsi" w:hAnsiTheme="minorHAnsi"/>
          <w:sz w:val="22"/>
        </w:rPr>
        <w:t xml:space="preserve"> institutions </w:t>
      </w:r>
      <w:r w:rsidR="003B6F1A" w:rsidRPr="005F2BD1">
        <w:rPr>
          <w:rFonts w:asciiTheme="minorHAnsi" w:hAnsiTheme="minorHAnsi"/>
          <w:sz w:val="22"/>
        </w:rPr>
        <w:t xml:space="preserve">in charge of SP in </w:t>
      </w:r>
      <w:r w:rsidR="00785173" w:rsidRPr="005F2BD1">
        <w:rPr>
          <w:rFonts w:asciiTheme="minorHAnsi" w:hAnsiTheme="minorHAnsi"/>
          <w:sz w:val="22"/>
        </w:rPr>
        <w:t xml:space="preserve">developing countries are still unable to fully satisfy the need of the rural poor. In particular, they struggle to ensure extensive </w:t>
      </w:r>
      <w:r w:rsidR="00785173" w:rsidRPr="005F2BD1">
        <w:rPr>
          <w:rFonts w:asciiTheme="minorHAnsi" w:hAnsiTheme="minorHAnsi"/>
          <w:b/>
          <w:bCs/>
          <w:sz w:val="22"/>
        </w:rPr>
        <w:t xml:space="preserve">coverage </w:t>
      </w:r>
      <w:r w:rsidR="00785173" w:rsidRPr="005F2BD1">
        <w:rPr>
          <w:rFonts w:asciiTheme="minorHAnsi" w:hAnsiTheme="minorHAnsi"/>
          <w:sz w:val="22"/>
        </w:rPr>
        <w:t xml:space="preserve">for all regions affected by poverty and </w:t>
      </w:r>
      <w:r w:rsidR="00785173" w:rsidRPr="005F2BD1">
        <w:rPr>
          <w:rFonts w:asciiTheme="minorHAnsi" w:hAnsiTheme="minorHAnsi"/>
          <w:b/>
          <w:bCs/>
          <w:sz w:val="22"/>
        </w:rPr>
        <w:t>inclusiveness</w:t>
      </w:r>
      <w:r w:rsidR="00785173" w:rsidRPr="005F2BD1">
        <w:rPr>
          <w:rFonts w:asciiTheme="minorHAnsi" w:hAnsiTheme="minorHAnsi"/>
          <w:sz w:val="22"/>
        </w:rPr>
        <w:t xml:space="preserve"> to reach the poorest citizens</w:t>
      </w:r>
      <w:r w:rsidR="001922B4" w:rsidRPr="005F2BD1">
        <w:rPr>
          <w:rStyle w:val="FootnoteReference"/>
          <w:rFonts w:asciiTheme="minorHAnsi" w:hAnsiTheme="minorHAnsi"/>
          <w:sz w:val="22"/>
        </w:rPr>
        <w:footnoteReference w:id="2"/>
      </w:r>
      <w:r w:rsidR="00785173" w:rsidRPr="005F2BD1">
        <w:rPr>
          <w:rFonts w:asciiTheme="minorHAnsi" w:hAnsiTheme="minorHAnsi"/>
          <w:sz w:val="22"/>
        </w:rPr>
        <w:t>.</w:t>
      </w:r>
      <w:r w:rsidR="003B6F1A" w:rsidRPr="005F2BD1">
        <w:rPr>
          <w:rFonts w:asciiTheme="minorHAnsi" w:hAnsiTheme="minorHAnsi"/>
          <w:sz w:val="22"/>
        </w:rPr>
        <w:t xml:space="preserve"> ILO advises that representatives of SP beneficiaries, including </w:t>
      </w:r>
      <w:r w:rsidR="00741CC4" w:rsidRPr="005F2BD1">
        <w:rPr>
          <w:rFonts w:asciiTheme="minorHAnsi" w:hAnsiTheme="minorHAnsi"/>
          <w:sz w:val="22"/>
        </w:rPr>
        <w:t>Rural O</w:t>
      </w:r>
      <w:r w:rsidR="003B6F1A" w:rsidRPr="005F2BD1">
        <w:rPr>
          <w:rFonts w:asciiTheme="minorHAnsi" w:hAnsiTheme="minorHAnsi"/>
          <w:sz w:val="22"/>
        </w:rPr>
        <w:t>rganisations, should participate in the design, implementation and monitoring of SP beyond consultation, in order for SP services to be relevant and adequate to the need of beneficiaries</w:t>
      </w:r>
      <w:r w:rsidR="00741CC4" w:rsidRPr="005F2BD1">
        <w:rPr>
          <w:rStyle w:val="FootnoteReference"/>
          <w:rFonts w:asciiTheme="minorHAnsi" w:hAnsiTheme="minorHAnsi"/>
          <w:sz w:val="22"/>
        </w:rPr>
        <w:footnoteReference w:id="3"/>
      </w:r>
      <w:r w:rsidR="003B6F1A" w:rsidRPr="005F2BD1">
        <w:rPr>
          <w:rFonts w:asciiTheme="minorHAnsi" w:hAnsiTheme="minorHAnsi"/>
          <w:sz w:val="22"/>
        </w:rPr>
        <w:t xml:space="preserve">. </w:t>
      </w:r>
    </w:p>
    <w:p w14:paraId="3AF4B08D" w14:textId="77777777" w:rsidR="000B3C14" w:rsidRDefault="009828DE" w:rsidP="002F7E7B">
      <w:pPr>
        <w:spacing w:after="60"/>
        <w:jc w:val="both"/>
        <w:rPr>
          <w:rFonts w:asciiTheme="minorHAnsi" w:hAnsiTheme="minorHAnsi"/>
          <w:color w:val="E36C0A" w:themeColor="accent6" w:themeShade="BF"/>
          <w:sz w:val="20"/>
          <w:szCs w:val="20"/>
        </w:rPr>
      </w:pPr>
      <w:r>
        <w:rPr>
          <w:rFonts w:asciiTheme="minorHAnsi" w:hAnsiTheme="minorHAnsi"/>
          <w:bCs/>
          <w:noProof/>
          <w:sz w:val="20"/>
          <w:szCs w:val="20"/>
          <w:lang w:eastAsia="en-GB"/>
        </w:rPr>
      </w:r>
      <w:r>
        <w:rPr>
          <w:rFonts w:asciiTheme="minorHAnsi" w:hAnsiTheme="minorHAnsi"/>
          <w:bCs/>
          <w:noProof/>
          <w:sz w:val="20"/>
          <w:szCs w:val="20"/>
          <w:lang w:eastAsia="en-GB"/>
        </w:rPr>
        <w:pict w14:anchorId="14F50B68">
          <v:shapetype id="_x0000_t202" coordsize="21600,21600" o:spt="202" path="m,l,21600r21600,l21600,xe">
            <v:stroke joinstyle="miter"/>
            <v:path gradientshapeok="t" o:connecttype="rect"/>
          </v:shapetype>
          <v:shape id="Text Box 2" o:spid="_x0000_s1027" type="#_x0000_t202" style="width:453.05pt;height:69.15pt;visibility:visible;mso-left-percent:-10001;mso-top-percent:-10001;mso-position-horizontal:absolute;mso-position-horizontal-relative:char;mso-position-vertical:absolute;mso-position-vertical-relative:line;mso-left-percent:-10001;mso-top-percent:-10001" fillcolor="#8aabd3 [2132]" strokecolor="#243f60 [1604]" strokeweight="1.5pt">
            <v:fill color2="#d6e2f0 [756]" colors="0 #9ab5e4;.5 #c2d1ed;1 #e1e8f5" focus="100%" type="gradient">
              <o:fill v:ext="view" type="gradientUnscaled"/>
            </v:fill>
            <v:textbox>
              <w:txbxContent>
                <w:p w14:paraId="4CEB1D00" w14:textId="77777777" w:rsidR="0080688F" w:rsidRPr="000B3C14" w:rsidRDefault="0080688F" w:rsidP="000B3C14">
                  <w:pPr>
                    <w:spacing w:after="60"/>
                    <w:jc w:val="both"/>
                    <w:rPr>
                      <w:rFonts w:asciiTheme="minorHAnsi" w:hAnsiTheme="minorHAnsi"/>
                      <w:bCs/>
                      <w:sz w:val="18"/>
                      <w:szCs w:val="18"/>
                    </w:rPr>
                  </w:pPr>
                  <w:r w:rsidRPr="000B3C14">
                    <w:rPr>
                      <w:rFonts w:asciiTheme="minorHAnsi" w:hAnsiTheme="minorHAnsi"/>
                      <w:b/>
                      <w:bCs/>
                      <w:sz w:val="18"/>
                      <w:szCs w:val="18"/>
                    </w:rPr>
                    <w:t>Rural Organisations</w:t>
                  </w:r>
                  <w:r w:rsidRPr="000B3C14">
                    <w:rPr>
                      <w:rFonts w:asciiTheme="minorHAnsi" w:hAnsiTheme="minorHAnsi"/>
                      <w:bCs/>
                      <w:sz w:val="18"/>
                      <w:szCs w:val="18"/>
                    </w:rPr>
                    <w:t xml:space="preserve"> (ROs) are intended as formal and informal groups of rural people acting together to attain agreed socio-economic objectives, improving their access to inputs, services and markets and providing means to make their voices heard. ROs also represent poor and vulnerable smallholders or rural workers whose livelihood mostly depends on productive activities in the sectors of agriculture, livestock, fisheries and forestry. These members are potential recipient</w:t>
                  </w:r>
                  <w:r>
                    <w:rPr>
                      <w:rFonts w:asciiTheme="minorHAnsi" w:hAnsiTheme="minorHAnsi"/>
                      <w:bCs/>
                      <w:sz w:val="18"/>
                      <w:szCs w:val="18"/>
                    </w:rPr>
                    <w:t>s</w:t>
                  </w:r>
                  <w:r w:rsidRPr="000B3C14">
                    <w:rPr>
                      <w:rFonts w:asciiTheme="minorHAnsi" w:hAnsiTheme="minorHAnsi"/>
                      <w:bCs/>
                      <w:sz w:val="18"/>
                      <w:szCs w:val="18"/>
                    </w:rPr>
                    <w:t xml:space="preserve"> of SP programs.</w:t>
                  </w:r>
                </w:p>
              </w:txbxContent>
            </v:textbox>
            <w10:wrap type="none"/>
            <w10:anchorlock/>
          </v:shape>
        </w:pict>
      </w:r>
    </w:p>
    <w:p w14:paraId="5825F015" w14:textId="5344C2B4" w:rsidR="00741CC4" w:rsidRPr="005F2BD1" w:rsidRDefault="00741CC4" w:rsidP="00741CC4">
      <w:pPr>
        <w:spacing w:after="60"/>
        <w:jc w:val="both"/>
        <w:rPr>
          <w:rFonts w:asciiTheme="minorHAnsi" w:hAnsiTheme="minorHAnsi"/>
          <w:color w:val="E36C0A" w:themeColor="accent6" w:themeShade="BF"/>
          <w:sz w:val="22"/>
        </w:rPr>
      </w:pPr>
      <w:r w:rsidRPr="005F2BD1">
        <w:rPr>
          <w:rFonts w:asciiTheme="minorHAnsi" w:hAnsiTheme="minorHAnsi"/>
          <w:sz w:val="22"/>
        </w:rPr>
        <w:t xml:space="preserve">Rural Organisations (ROs) can contribute to delivering SP both as a service provider for 1) the State, by performing tasks within national SP systems through participatory mechanisms; and 2) their members, by conducting collective practices of risk </w:t>
      </w:r>
      <w:r w:rsidR="00A5203A">
        <w:rPr>
          <w:rFonts w:asciiTheme="minorHAnsi" w:hAnsiTheme="minorHAnsi"/>
          <w:sz w:val="22"/>
        </w:rPr>
        <w:t>management</w:t>
      </w:r>
      <w:r w:rsidRPr="005F2BD1">
        <w:rPr>
          <w:rFonts w:asciiTheme="minorHAnsi" w:hAnsiTheme="minorHAnsi"/>
          <w:sz w:val="22"/>
        </w:rPr>
        <w:t xml:space="preserve"> and mutual assistance. </w:t>
      </w:r>
    </w:p>
    <w:p w14:paraId="42782DD2" w14:textId="5AB4C0B0" w:rsidR="00052F8B" w:rsidRPr="005F2BD1" w:rsidRDefault="007066F9" w:rsidP="00CA2C8D">
      <w:pPr>
        <w:spacing w:after="60"/>
        <w:jc w:val="both"/>
        <w:rPr>
          <w:rFonts w:asciiTheme="minorHAnsi" w:hAnsiTheme="minorHAnsi"/>
          <w:sz w:val="22"/>
        </w:rPr>
      </w:pPr>
      <w:r w:rsidRPr="005F2BD1">
        <w:rPr>
          <w:rFonts w:asciiTheme="minorHAnsi" w:hAnsiTheme="minorHAnsi"/>
          <w:sz w:val="22"/>
        </w:rPr>
        <w:t xml:space="preserve">Evaluations of SP programs rarely focus on the </w:t>
      </w:r>
      <w:r w:rsidR="00741CC4" w:rsidRPr="005F2BD1">
        <w:rPr>
          <w:rFonts w:asciiTheme="minorHAnsi" w:hAnsiTheme="minorHAnsi"/>
          <w:b/>
          <w:sz w:val="22"/>
        </w:rPr>
        <w:t xml:space="preserve">local </w:t>
      </w:r>
      <w:r w:rsidRPr="005F2BD1">
        <w:rPr>
          <w:rFonts w:asciiTheme="minorHAnsi" w:hAnsiTheme="minorHAnsi"/>
          <w:b/>
          <w:sz w:val="22"/>
        </w:rPr>
        <w:t>institutional set-ups</w:t>
      </w:r>
      <w:r w:rsidRPr="005F2BD1">
        <w:rPr>
          <w:rFonts w:asciiTheme="minorHAnsi" w:hAnsiTheme="minorHAnsi"/>
          <w:sz w:val="22"/>
        </w:rPr>
        <w:t xml:space="preserve"> that </w:t>
      </w:r>
      <w:r w:rsidR="000B3C14" w:rsidRPr="005F2BD1">
        <w:rPr>
          <w:rFonts w:asciiTheme="minorHAnsi" w:hAnsiTheme="minorHAnsi"/>
          <w:sz w:val="22"/>
        </w:rPr>
        <w:t>should be put in place</w:t>
      </w:r>
      <w:r w:rsidRPr="005F2BD1">
        <w:rPr>
          <w:rFonts w:asciiTheme="minorHAnsi" w:hAnsiTheme="minorHAnsi"/>
          <w:sz w:val="22"/>
        </w:rPr>
        <w:t xml:space="preserve"> to </w:t>
      </w:r>
      <w:r w:rsidR="000B3C14" w:rsidRPr="005F2BD1">
        <w:rPr>
          <w:rFonts w:asciiTheme="minorHAnsi" w:hAnsiTheme="minorHAnsi"/>
          <w:sz w:val="22"/>
        </w:rPr>
        <w:t xml:space="preserve">deliver SP </w:t>
      </w:r>
      <w:r w:rsidRPr="005F2BD1">
        <w:rPr>
          <w:rFonts w:asciiTheme="minorHAnsi" w:hAnsiTheme="minorHAnsi"/>
          <w:sz w:val="22"/>
        </w:rPr>
        <w:t xml:space="preserve">successfully. </w:t>
      </w:r>
      <w:r w:rsidR="000B3C14" w:rsidRPr="005F2BD1">
        <w:rPr>
          <w:rFonts w:asciiTheme="minorHAnsi" w:hAnsiTheme="minorHAnsi"/>
          <w:sz w:val="22"/>
        </w:rPr>
        <w:t>Accordingly, t</w:t>
      </w:r>
      <w:r w:rsidRPr="005F2BD1">
        <w:rPr>
          <w:rFonts w:asciiTheme="minorHAnsi" w:hAnsiTheme="minorHAnsi"/>
          <w:sz w:val="22"/>
        </w:rPr>
        <w:t>h</w:t>
      </w:r>
      <w:r w:rsidR="00CA2C8D">
        <w:rPr>
          <w:rFonts w:asciiTheme="minorHAnsi" w:hAnsiTheme="minorHAnsi"/>
          <w:sz w:val="22"/>
        </w:rPr>
        <w:t>e</w:t>
      </w:r>
      <w:r w:rsidRPr="005F2BD1">
        <w:rPr>
          <w:rFonts w:asciiTheme="minorHAnsi" w:hAnsiTheme="minorHAnsi"/>
          <w:sz w:val="22"/>
        </w:rPr>
        <w:t xml:space="preserve"> </w:t>
      </w:r>
      <w:r w:rsidR="000B3C14" w:rsidRPr="005F2BD1">
        <w:rPr>
          <w:rFonts w:asciiTheme="minorHAnsi" w:hAnsiTheme="minorHAnsi"/>
          <w:sz w:val="22"/>
        </w:rPr>
        <w:t xml:space="preserve">scarce </w:t>
      </w:r>
      <w:r w:rsidRPr="005F2BD1">
        <w:rPr>
          <w:rFonts w:asciiTheme="minorHAnsi" w:hAnsiTheme="minorHAnsi"/>
          <w:sz w:val="22"/>
        </w:rPr>
        <w:t xml:space="preserve">literature </w:t>
      </w:r>
      <w:r w:rsidR="00CA2C8D">
        <w:rPr>
          <w:rFonts w:asciiTheme="minorHAnsi" w:hAnsiTheme="minorHAnsi"/>
          <w:sz w:val="22"/>
        </w:rPr>
        <w:t>that exist</w:t>
      </w:r>
      <w:r w:rsidR="007A63C9">
        <w:rPr>
          <w:rFonts w:asciiTheme="minorHAnsi" w:hAnsiTheme="minorHAnsi"/>
          <w:sz w:val="22"/>
        </w:rPr>
        <w:t>s</w:t>
      </w:r>
      <w:r w:rsidR="00CA2C8D">
        <w:rPr>
          <w:rFonts w:asciiTheme="minorHAnsi" w:hAnsiTheme="minorHAnsi"/>
          <w:sz w:val="22"/>
        </w:rPr>
        <w:t xml:space="preserve"> </w:t>
      </w:r>
      <w:r w:rsidRPr="005F2BD1">
        <w:rPr>
          <w:rFonts w:asciiTheme="minorHAnsi" w:hAnsiTheme="minorHAnsi"/>
          <w:sz w:val="22"/>
        </w:rPr>
        <w:t xml:space="preserve">is insufficient to understand the current and potential contribution of ROs </w:t>
      </w:r>
      <w:r w:rsidR="000B3C14" w:rsidRPr="005F2BD1">
        <w:rPr>
          <w:rFonts w:asciiTheme="minorHAnsi" w:hAnsiTheme="minorHAnsi"/>
          <w:sz w:val="22"/>
        </w:rPr>
        <w:t>within the range of institutions that are or should be involved in the SP agenda</w:t>
      </w:r>
      <w:r w:rsidRPr="005F2BD1">
        <w:rPr>
          <w:rFonts w:asciiTheme="minorHAnsi" w:hAnsiTheme="minorHAnsi"/>
          <w:sz w:val="22"/>
        </w:rPr>
        <w:t>.</w:t>
      </w:r>
      <w:r w:rsidR="008C48A7" w:rsidRPr="005F2BD1">
        <w:rPr>
          <w:rFonts w:asciiTheme="minorHAnsi" w:hAnsiTheme="minorHAnsi"/>
          <w:bCs/>
          <w:sz w:val="22"/>
        </w:rPr>
        <w:t xml:space="preserve"> </w:t>
      </w:r>
      <w:r w:rsidR="00F557DE" w:rsidRPr="005F2BD1">
        <w:rPr>
          <w:rFonts w:asciiTheme="minorHAnsi" w:hAnsiTheme="minorHAnsi"/>
          <w:sz w:val="22"/>
        </w:rPr>
        <w:t xml:space="preserve">This </w:t>
      </w:r>
      <w:r w:rsidR="00CA2C8D">
        <w:rPr>
          <w:rFonts w:asciiTheme="minorHAnsi" w:hAnsiTheme="minorHAnsi"/>
          <w:sz w:val="22"/>
        </w:rPr>
        <w:t xml:space="preserve">study aims </w:t>
      </w:r>
      <w:r w:rsidR="008C48A7" w:rsidRPr="005F2BD1">
        <w:rPr>
          <w:rFonts w:asciiTheme="minorHAnsi" w:hAnsiTheme="minorHAnsi"/>
          <w:sz w:val="22"/>
        </w:rPr>
        <w:t xml:space="preserve">to </w:t>
      </w:r>
      <w:r w:rsidR="00CA2C8D">
        <w:rPr>
          <w:rFonts w:asciiTheme="minorHAnsi" w:hAnsiTheme="minorHAnsi"/>
          <w:sz w:val="22"/>
        </w:rPr>
        <w:t xml:space="preserve">address </w:t>
      </w:r>
      <w:r w:rsidR="008C48A7" w:rsidRPr="005F2BD1">
        <w:rPr>
          <w:rFonts w:asciiTheme="minorHAnsi" w:hAnsiTheme="minorHAnsi"/>
          <w:sz w:val="22"/>
        </w:rPr>
        <w:t>this gap</w:t>
      </w:r>
      <w:r w:rsidR="00443E0C" w:rsidRPr="005F2BD1">
        <w:rPr>
          <w:rFonts w:asciiTheme="minorHAnsi" w:hAnsiTheme="minorHAnsi"/>
          <w:bCs/>
          <w:sz w:val="22"/>
        </w:rPr>
        <w:t xml:space="preserve"> by </w:t>
      </w:r>
      <w:r w:rsidR="00CA2C8D">
        <w:rPr>
          <w:rFonts w:asciiTheme="minorHAnsi" w:hAnsiTheme="minorHAnsi"/>
          <w:bCs/>
          <w:sz w:val="22"/>
        </w:rPr>
        <w:t xml:space="preserve">documenting existing experiences and good practices from </w:t>
      </w:r>
      <w:r w:rsidR="00443E0C" w:rsidRPr="005F2BD1">
        <w:rPr>
          <w:rFonts w:asciiTheme="minorHAnsi" w:hAnsiTheme="minorHAnsi"/>
          <w:bCs/>
          <w:sz w:val="22"/>
        </w:rPr>
        <w:t>developing countries</w:t>
      </w:r>
      <w:r w:rsidR="00CA2C8D">
        <w:rPr>
          <w:rFonts w:asciiTheme="minorHAnsi" w:hAnsiTheme="minorHAnsi"/>
          <w:bCs/>
          <w:sz w:val="22"/>
        </w:rPr>
        <w:t xml:space="preserve"> in order to generate </w:t>
      </w:r>
      <w:r w:rsidR="007A63C9">
        <w:rPr>
          <w:rFonts w:asciiTheme="minorHAnsi" w:hAnsiTheme="minorHAnsi"/>
          <w:bCs/>
          <w:sz w:val="22"/>
        </w:rPr>
        <w:t>evidence</w:t>
      </w:r>
      <w:r w:rsidR="00CA2C8D">
        <w:rPr>
          <w:rFonts w:asciiTheme="minorHAnsi" w:hAnsiTheme="minorHAnsi"/>
          <w:bCs/>
          <w:sz w:val="22"/>
        </w:rPr>
        <w:t xml:space="preserve"> for policy making</w:t>
      </w:r>
      <w:r w:rsidR="00F557DE" w:rsidRPr="005F2BD1">
        <w:rPr>
          <w:rFonts w:asciiTheme="minorHAnsi" w:hAnsiTheme="minorHAnsi"/>
          <w:bCs/>
          <w:sz w:val="22"/>
        </w:rPr>
        <w:t>.</w:t>
      </w:r>
      <w:r w:rsidR="00052F8B" w:rsidRPr="005F2BD1">
        <w:rPr>
          <w:rFonts w:asciiTheme="minorHAnsi" w:hAnsiTheme="minorHAnsi"/>
          <w:bCs/>
          <w:sz w:val="22"/>
        </w:rPr>
        <w:t xml:space="preserve"> </w:t>
      </w:r>
      <w:r w:rsidR="00052F8B" w:rsidRPr="005F2BD1">
        <w:rPr>
          <w:rFonts w:asciiTheme="minorHAnsi" w:hAnsiTheme="minorHAnsi"/>
          <w:sz w:val="22"/>
        </w:rPr>
        <w:t xml:space="preserve">This study is aligned </w:t>
      </w:r>
      <w:r w:rsidR="00DC5E6B" w:rsidRPr="005F2BD1">
        <w:rPr>
          <w:rFonts w:asciiTheme="minorHAnsi" w:hAnsiTheme="minorHAnsi"/>
          <w:sz w:val="22"/>
        </w:rPr>
        <w:t>with</w:t>
      </w:r>
      <w:r w:rsidR="00052F8B" w:rsidRPr="005F2BD1">
        <w:rPr>
          <w:rFonts w:asciiTheme="minorHAnsi" w:hAnsiTheme="minorHAnsi"/>
          <w:sz w:val="22"/>
        </w:rPr>
        <w:t xml:space="preserve"> FAO’s objective </w:t>
      </w:r>
      <w:r w:rsidR="00117BBD" w:rsidRPr="005F2BD1">
        <w:rPr>
          <w:rFonts w:asciiTheme="minorHAnsi" w:hAnsiTheme="minorHAnsi"/>
          <w:sz w:val="22"/>
        </w:rPr>
        <w:t xml:space="preserve">to increase </w:t>
      </w:r>
      <w:r w:rsidR="00D70A66" w:rsidRPr="005F2BD1">
        <w:rPr>
          <w:rFonts w:asciiTheme="minorHAnsi" w:hAnsiTheme="minorHAnsi"/>
          <w:sz w:val="22"/>
        </w:rPr>
        <w:t xml:space="preserve">its </w:t>
      </w:r>
      <w:r w:rsidR="00117BBD" w:rsidRPr="005F2BD1">
        <w:rPr>
          <w:rFonts w:asciiTheme="minorHAnsi" w:hAnsiTheme="minorHAnsi"/>
          <w:sz w:val="22"/>
        </w:rPr>
        <w:t xml:space="preserve">knowledge </w:t>
      </w:r>
      <w:r w:rsidR="00443E0C" w:rsidRPr="005F2BD1">
        <w:rPr>
          <w:rFonts w:asciiTheme="minorHAnsi" w:hAnsiTheme="minorHAnsi"/>
          <w:sz w:val="22"/>
        </w:rPr>
        <w:t xml:space="preserve">on SP </w:t>
      </w:r>
      <w:r w:rsidR="00117BBD" w:rsidRPr="005F2BD1">
        <w:rPr>
          <w:rFonts w:asciiTheme="minorHAnsi" w:hAnsiTheme="minorHAnsi"/>
          <w:sz w:val="22"/>
        </w:rPr>
        <w:t>and inform</w:t>
      </w:r>
      <w:r w:rsidR="00052F8B" w:rsidRPr="005F2BD1">
        <w:rPr>
          <w:rFonts w:asciiTheme="minorHAnsi" w:hAnsiTheme="minorHAnsi"/>
          <w:sz w:val="22"/>
        </w:rPr>
        <w:t xml:space="preserve"> the design of SP systems for </w:t>
      </w:r>
      <w:r w:rsidR="00443E0C" w:rsidRPr="005F2BD1">
        <w:rPr>
          <w:rFonts w:asciiTheme="minorHAnsi" w:hAnsiTheme="minorHAnsi"/>
          <w:sz w:val="22"/>
        </w:rPr>
        <w:t xml:space="preserve">reducing </w:t>
      </w:r>
      <w:r w:rsidR="00052F8B" w:rsidRPr="005F2BD1">
        <w:rPr>
          <w:rFonts w:asciiTheme="minorHAnsi" w:hAnsiTheme="minorHAnsi"/>
          <w:sz w:val="22"/>
        </w:rPr>
        <w:t>poverty and</w:t>
      </w:r>
      <w:r w:rsidR="00443E0C" w:rsidRPr="005F2BD1">
        <w:rPr>
          <w:rFonts w:asciiTheme="minorHAnsi" w:hAnsiTheme="minorHAnsi"/>
          <w:sz w:val="22"/>
        </w:rPr>
        <w:t xml:space="preserve"> ensuring</w:t>
      </w:r>
      <w:r w:rsidR="00052F8B" w:rsidRPr="005F2BD1">
        <w:rPr>
          <w:rFonts w:asciiTheme="minorHAnsi" w:hAnsiTheme="minorHAnsi"/>
          <w:sz w:val="22"/>
        </w:rPr>
        <w:t xml:space="preserve"> food and nutrition security</w:t>
      </w:r>
      <w:r w:rsidR="00741CC4" w:rsidRPr="005F2BD1">
        <w:rPr>
          <w:rStyle w:val="FootnoteReference"/>
          <w:rFonts w:asciiTheme="minorHAnsi" w:hAnsiTheme="minorHAnsi"/>
          <w:sz w:val="22"/>
        </w:rPr>
        <w:footnoteReference w:id="4"/>
      </w:r>
      <w:r w:rsidR="00CA2C8D">
        <w:rPr>
          <w:rFonts w:asciiTheme="minorHAnsi" w:hAnsiTheme="minorHAnsi"/>
          <w:sz w:val="22"/>
        </w:rPr>
        <w:t xml:space="preserve"> under its Strategic Objective 3 “Reduce Rural Poverty”</w:t>
      </w:r>
      <w:r w:rsidR="00052F8B" w:rsidRPr="005F2BD1">
        <w:rPr>
          <w:rFonts w:asciiTheme="minorHAnsi" w:hAnsiTheme="minorHAnsi"/>
          <w:sz w:val="22"/>
        </w:rPr>
        <w:t>.</w:t>
      </w:r>
      <w:r w:rsidR="00443E0C" w:rsidRPr="005F2BD1">
        <w:rPr>
          <w:rFonts w:asciiTheme="minorHAnsi" w:hAnsiTheme="minorHAnsi"/>
          <w:sz w:val="22"/>
        </w:rPr>
        <w:t xml:space="preserve"> </w:t>
      </w:r>
    </w:p>
    <w:p w14:paraId="1782A31D" w14:textId="77777777" w:rsidR="005E32D8" w:rsidRPr="005F2BD1" w:rsidRDefault="005E32D8" w:rsidP="00DD1162">
      <w:pPr>
        <w:spacing w:after="60"/>
        <w:jc w:val="both"/>
        <w:rPr>
          <w:rFonts w:asciiTheme="minorHAnsi" w:hAnsiTheme="minorHAnsi"/>
          <w:b/>
          <w:bCs/>
          <w:i/>
          <w:iCs/>
          <w:color w:val="244061" w:themeColor="accent1" w:themeShade="80"/>
          <w:sz w:val="22"/>
        </w:rPr>
      </w:pPr>
      <w:r w:rsidRPr="005F2BD1">
        <w:rPr>
          <w:rFonts w:asciiTheme="minorHAnsi" w:hAnsiTheme="minorHAnsi"/>
          <w:b/>
          <w:bCs/>
          <w:i/>
          <w:iCs/>
          <w:color w:val="244061" w:themeColor="accent1" w:themeShade="80"/>
          <w:sz w:val="22"/>
        </w:rPr>
        <w:t>Rationale</w:t>
      </w:r>
    </w:p>
    <w:p w14:paraId="09B85080" w14:textId="6E1153B0" w:rsidR="009C6FB0" w:rsidRPr="005F2BD1" w:rsidRDefault="00366246" w:rsidP="00CA2C8D">
      <w:pPr>
        <w:spacing w:after="60"/>
        <w:jc w:val="both"/>
        <w:rPr>
          <w:rFonts w:asciiTheme="minorHAnsi" w:hAnsiTheme="minorHAnsi"/>
          <w:sz w:val="22"/>
        </w:rPr>
      </w:pPr>
      <w:r w:rsidRPr="005F2BD1">
        <w:rPr>
          <w:rFonts w:asciiTheme="minorHAnsi" w:hAnsiTheme="minorHAnsi"/>
          <w:sz w:val="22"/>
        </w:rPr>
        <w:t xml:space="preserve">ROs can play </w:t>
      </w:r>
      <w:r w:rsidRPr="005F2BD1">
        <w:rPr>
          <w:rFonts w:asciiTheme="minorHAnsi" w:hAnsiTheme="minorHAnsi"/>
          <w:b/>
          <w:sz w:val="22"/>
        </w:rPr>
        <w:t>two roles</w:t>
      </w:r>
      <w:r w:rsidRPr="005F2BD1">
        <w:rPr>
          <w:rFonts w:asciiTheme="minorHAnsi" w:hAnsiTheme="minorHAnsi"/>
          <w:sz w:val="22"/>
        </w:rPr>
        <w:t xml:space="preserve"> that contribute to ensuring social protection for the </w:t>
      </w:r>
      <w:r w:rsidR="00C91EED" w:rsidRPr="005F2BD1">
        <w:rPr>
          <w:rFonts w:asciiTheme="minorHAnsi" w:hAnsiTheme="minorHAnsi"/>
          <w:sz w:val="22"/>
        </w:rPr>
        <w:t xml:space="preserve">rural </w:t>
      </w:r>
      <w:r w:rsidRPr="005F2BD1">
        <w:rPr>
          <w:rFonts w:asciiTheme="minorHAnsi" w:hAnsiTheme="minorHAnsi"/>
          <w:sz w:val="22"/>
        </w:rPr>
        <w:t>poor</w:t>
      </w:r>
      <w:r w:rsidR="00C91EED" w:rsidRPr="005F2BD1">
        <w:rPr>
          <w:rFonts w:asciiTheme="minorHAnsi" w:hAnsiTheme="minorHAnsi"/>
          <w:sz w:val="22"/>
        </w:rPr>
        <w:t xml:space="preserve">. These are </w:t>
      </w:r>
      <w:r w:rsidR="009C6FB0" w:rsidRPr="005F2BD1">
        <w:rPr>
          <w:rFonts w:asciiTheme="minorHAnsi" w:hAnsiTheme="minorHAnsi"/>
          <w:sz w:val="22"/>
        </w:rPr>
        <w:t>particularly</w:t>
      </w:r>
      <w:r w:rsidR="00C91EED" w:rsidRPr="005F2BD1">
        <w:rPr>
          <w:rFonts w:asciiTheme="minorHAnsi" w:hAnsiTheme="minorHAnsi"/>
          <w:sz w:val="22"/>
        </w:rPr>
        <w:t xml:space="preserve"> relevant</w:t>
      </w:r>
      <w:r w:rsidR="009C6FB0" w:rsidRPr="005F2BD1">
        <w:rPr>
          <w:rFonts w:asciiTheme="minorHAnsi" w:hAnsiTheme="minorHAnsi"/>
          <w:sz w:val="22"/>
        </w:rPr>
        <w:t xml:space="preserve"> in rural contexts that are more difficult for governments to </w:t>
      </w:r>
      <w:r w:rsidR="00CA2C8D">
        <w:rPr>
          <w:rFonts w:asciiTheme="minorHAnsi" w:hAnsiTheme="minorHAnsi"/>
          <w:sz w:val="22"/>
        </w:rPr>
        <w:t>cover</w:t>
      </w:r>
      <w:r w:rsidR="009C6FB0" w:rsidRPr="005F2BD1">
        <w:rPr>
          <w:rFonts w:asciiTheme="minorHAnsi" w:hAnsiTheme="minorHAnsi"/>
          <w:sz w:val="22"/>
        </w:rPr>
        <w:t xml:space="preserve"> and </w:t>
      </w:r>
      <w:r w:rsidR="00CA2C8D">
        <w:rPr>
          <w:rFonts w:asciiTheme="minorHAnsi" w:hAnsiTheme="minorHAnsi"/>
          <w:sz w:val="22"/>
        </w:rPr>
        <w:t xml:space="preserve">are </w:t>
      </w:r>
      <w:r w:rsidR="009C6FB0" w:rsidRPr="005F2BD1">
        <w:rPr>
          <w:rFonts w:asciiTheme="minorHAnsi" w:hAnsiTheme="minorHAnsi"/>
          <w:sz w:val="22"/>
        </w:rPr>
        <w:t>highly characterised by informal economies</w:t>
      </w:r>
      <w:r w:rsidRPr="005F2BD1">
        <w:rPr>
          <w:rFonts w:asciiTheme="minorHAnsi" w:hAnsiTheme="minorHAnsi"/>
          <w:sz w:val="22"/>
        </w:rPr>
        <w:t xml:space="preserve">. </w:t>
      </w:r>
    </w:p>
    <w:p w14:paraId="7EF5047B" w14:textId="140D5DB0" w:rsidR="007D1EB9" w:rsidRDefault="00366246" w:rsidP="005F2BD1">
      <w:pPr>
        <w:pStyle w:val="ListParagraph"/>
        <w:numPr>
          <w:ilvl w:val="0"/>
          <w:numId w:val="16"/>
        </w:numPr>
        <w:spacing w:after="60"/>
        <w:jc w:val="both"/>
        <w:rPr>
          <w:rFonts w:asciiTheme="minorHAnsi" w:hAnsiTheme="minorHAnsi"/>
          <w:sz w:val="22"/>
        </w:rPr>
      </w:pPr>
      <w:r w:rsidRPr="005F2BD1">
        <w:rPr>
          <w:rFonts w:asciiTheme="minorHAnsi" w:hAnsiTheme="minorHAnsi"/>
          <w:sz w:val="22"/>
        </w:rPr>
        <w:t xml:space="preserve">They </w:t>
      </w:r>
      <w:r w:rsidR="005E0387" w:rsidRPr="005F2BD1">
        <w:rPr>
          <w:rFonts w:asciiTheme="minorHAnsi" w:hAnsiTheme="minorHAnsi"/>
          <w:sz w:val="22"/>
        </w:rPr>
        <w:t xml:space="preserve">can </w:t>
      </w:r>
      <w:r w:rsidRPr="005F2BD1">
        <w:rPr>
          <w:rFonts w:asciiTheme="minorHAnsi" w:hAnsiTheme="minorHAnsi"/>
          <w:sz w:val="22"/>
        </w:rPr>
        <w:t xml:space="preserve">represent the rural poor at higher levels and advocate for their needs, with the potential to conduct external services for national SP systems. Through the establishment of </w:t>
      </w:r>
      <w:r w:rsidRPr="005F2BD1">
        <w:rPr>
          <w:rFonts w:asciiTheme="minorHAnsi" w:hAnsiTheme="minorHAnsi"/>
          <w:b/>
          <w:bCs/>
          <w:sz w:val="22"/>
        </w:rPr>
        <w:t>participatory mechanisms</w:t>
      </w:r>
      <w:r w:rsidRPr="005F2BD1">
        <w:rPr>
          <w:rFonts w:asciiTheme="minorHAnsi" w:hAnsiTheme="minorHAnsi"/>
          <w:sz w:val="22"/>
        </w:rPr>
        <w:t xml:space="preserve">, ROs can </w:t>
      </w:r>
      <w:r w:rsidR="005E0387" w:rsidRPr="005F2BD1">
        <w:rPr>
          <w:rFonts w:asciiTheme="minorHAnsi" w:hAnsiTheme="minorHAnsi"/>
          <w:sz w:val="22"/>
        </w:rPr>
        <w:t xml:space="preserve">be approached to </w:t>
      </w:r>
      <w:r w:rsidRPr="005F2BD1">
        <w:rPr>
          <w:rFonts w:asciiTheme="minorHAnsi" w:hAnsiTheme="minorHAnsi"/>
          <w:sz w:val="22"/>
        </w:rPr>
        <w:t xml:space="preserve">inform the design of SP programs and implement tasks within SP programmes (e.g. targeting, registering, monitoring). </w:t>
      </w:r>
      <w:r w:rsidR="009C6FB0" w:rsidRPr="005F2BD1">
        <w:rPr>
          <w:rFonts w:asciiTheme="minorHAnsi" w:hAnsiTheme="minorHAnsi"/>
          <w:sz w:val="22"/>
        </w:rPr>
        <w:t xml:space="preserve">Participation in SP systems can take different forms. </w:t>
      </w:r>
      <w:r w:rsidR="009C6FB0" w:rsidRPr="00226729">
        <w:rPr>
          <w:rFonts w:asciiTheme="minorHAnsi" w:hAnsiTheme="minorHAnsi"/>
          <w:sz w:val="22"/>
        </w:rPr>
        <w:t>Consultation</w:t>
      </w:r>
      <w:r w:rsidR="009C6FB0" w:rsidRPr="005F2BD1">
        <w:rPr>
          <w:rFonts w:asciiTheme="minorHAnsi" w:hAnsiTheme="minorHAnsi"/>
          <w:sz w:val="22"/>
        </w:rPr>
        <w:t xml:space="preserve"> can occur through social councils/commissions/committees, also with the participation of ROs’ </w:t>
      </w:r>
      <w:proofErr w:type="gramStart"/>
      <w:r w:rsidR="009C6FB0" w:rsidRPr="005F2BD1">
        <w:rPr>
          <w:rFonts w:asciiTheme="minorHAnsi" w:hAnsiTheme="minorHAnsi"/>
          <w:sz w:val="22"/>
        </w:rPr>
        <w:t>representatives, that</w:t>
      </w:r>
      <w:proofErr w:type="gramEnd"/>
      <w:r w:rsidR="009C6FB0" w:rsidRPr="005F2BD1">
        <w:rPr>
          <w:rFonts w:asciiTheme="minorHAnsi" w:hAnsiTheme="minorHAnsi"/>
          <w:sz w:val="22"/>
        </w:rPr>
        <w:t xml:space="preserve"> are responsible for watching over inclusion and exclusion errors and informing about priority SP needs (</w:t>
      </w:r>
      <w:r w:rsidR="00CA2C8D">
        <w:rPr>
          <w:rFonts w:asciiTheme="minorHAnsi" w:hAnsiTheme="minorHAnsi"/>
          <w:sz w:val="22"/>
        </w:rPr>
        <w:t xml:space="preserve">e.g. </w:t>
      </w:r>
      <w:proofErr w:type="spellStart"/>
      <w:r w:rsidR="009C6FB0" w:rsidRPr="005F2BD1">
        <w:rPr>
          <w:rFonts w:asciiTheme="minorHAnsi" w:hAnsiTheme="minorHAnsi"/>
          <w:i/>
          <w:iCs/>
          <w:sz w:val="22"/>
        </w:rPr>
        <w:t>Oportunidades</w:t>
      </w:r>
      <w:proofErr w:type="spellEnd"/>
      <w:r w:rsidR="009C6FB0" w:rsidRPr="005F2BD1">
        <w:rPr>
          <w:rFonts w:asciiTheme="minorHAnsi" w:hAnsiTheme="minorHAnsi"/>
          <w:sz w:val="22"/>
        </w:rPr>
        <w:t xml:space="preserve"> in Mexico). In some cases, </w:t>
      </w:r>
      <w:r w:rsidR="009C6FB0" w:rsidRPr="005F2BD1">
        <w:rPr>
          <w:rFonts w:asciiTheme="minorHAnsi" w:hAnsiTheme="minorHAnsi"/>
          <w:sz w:val="22"/>
        </w:rPr>
        <w:lastRenderedPageBreak/>
        <w:t>social councils are responsible for the monitoring of supporting infrastructures and the performance of oversight activities (</w:t>
      </w:r>
      <w:proofErr w:type="spellStart"/>
      <w:r w:rsidR="009C6FB0" w:rsidRPr="005F2BD1">
        <w:rPr>
          <w:rFonts w:asciiTheme="minorHAnsi" w:hAnsiTheme="minorHAnsi"/>
          <w:i/>
          <w:iCs/>
          <w:sz w:val="22"/>
        </w:rPr>
        <w:t>Fome</w:t>
      </w:r>
      <w:proofErr w:type="spellEnd"/>
      <w:r w:rsidR="009C6FB0" w:rsidRPr="005F2BD1">
        <w:rPr>
          <w:rFonts w:asciiTheme="minorHAnsi" w:hAnsiTheme="minorHAnsi"/>
          <w:i/>
          <w:iCs/>
          <w:sz w:val="22"/>
        </w:rPr>
        <w:t xml:space="preserve"> Zero</w:t>
      </w:r>
      <w:r w:rsidR="009C6FB0" w:rsidRPr="005F2BD1">
        <w:rPr>
          <w:rFonts w:asciiTheme="minorHAnsi" w:hAnsiTheme="minorHAnsi"/>
          <w:sz w:val="22"/>
        </w:rPr>
        <w:t xml:space="preserve"> in Brazil). </w:t>
      </w:r>
      <w:r w:rsidR="009C6FB0" w:rsidRPr="00226729">
        <w:rPr>
          <w:rFonts w:asciiTheme="minorHAnsi" w:hAnsiTheme="minorHAnsi"/>
          <w:sz w:val="22"/>
        </w:rPr>
        <w:t>Collaboration</w:t>
      </w:r>
      <w:r w:rsidR="009C6FB0" w:rsidRPr="005F2BD1">
        <w:rPr>
          <w:rFonts w:asciiTheme="minorHAnsi" w:hAnsiTheme="minorHAnsi"/>
          <w:sz w:val="22"/>
        </w:rPr>
        <w:t xml:space="preserve"> occurs when governments decide to assign some tasks to ROs, according to their capabilities and potential to improve some aspects in the delivery of SP. For instance, ROs collaborate in programs of local and institutional procurement that create markets for poor smallholders and provide food to children in schools (e.g. PAA</w:t>
      </w:r>
      <w:r w:rsidR="009C6FB0" w:rsidRPr="005F2BD1">
        <w:rPr>
          <w:rFonts w:asciiTheme="minorHAnsi" w:hAnsiTheme="minorHAnsi"/>
          <w:i/>
          <w:iCs/>
          <w:sz w:val="22"/>
        </w:rPr>
        <w:t xml:space="preserve"> </w:t>
      </w:r>
      <w:r w:rsidR="009C6FB0" w:rsidRPr="005F2BD1">
        <w:rPr>
          <w:rFonts w:asciiTheme="minorHAnsi" w:hAnsiTheme="minorHAnsi"/>
          <w:sz w:val="22"/>
        </w:rPr>
        <w:t xml:space="preserve">in Brazil). Community targeting is commonly used to improve the transparency and accountability of targeting processes, although it can be hindered by local power structures and stigma against certain groups (e.g. women, disabled, indigenous groups). In some cases, governments opted for the devolution of the </w:t>
      </w:r>
      <w:r w:rsidR="009C6FB0" w:rsidRPr="00226729">
        <w:rPr>
          <w:rFonts w:asciiTheme="minorHAnsi" w:hAnsiTheme="minorHAnsi"/>
          <w:sz w:val="22"/>
        </w:rPr>
        <w:t>autonomous management</w:t>
      </w:r>
      <w:r w:rsidR="009C6FB0" w:rsidRPr="005F2BD1">
        <w:rPr>
          <w:rFonts w:asciiTheme="minorHAnsi" w:hAnsiTheme="minorHAnsi"/>
          <w:sz w:val="22"/>
        </w:rPr>
        <w:t xml:space="preserve"> </w:t>
      </w:r>
      <w:r w:rsidR="00120259" w:rsidRPr="005F2BD1">
        <w:rPr>
          <w:rFonts w:asciiTheme="minorHAnsi" w:hAnsiTheme="minorHAnsi"/>
          <w:sz w:val="22"/>
        </w:rPr>
        <w:t xml:space="preserve">to community organisations </w:t>
      </w:r>
      <w:r w:rsidR="003B45C7">
        <w:rPr>
          <w:rFonts w:asciiTheme="minorHAnsi" w:hAnsiTheme="minorHAnsi"/>
          <w:sz w:val="22"/>
        </w:rPr>
        <w:t>of community</w:t>
      </w:r>
      <w:r w:rsidR="009C6FB0" w:rsidRPr="005F2BD1">
        <w:rPr>
          <w:rFonts w:asciiTheme="minorHAnsi" w:hAnsiTheme="minorHAnsi"/>
          <w:sz w:val="22"/>
        </w:rPr>
        <w:t xml:space="preserve"> cash transfers, while providing advisory support and general supervision (</w:t>
      </w:r>
      <w:proofErr w:type="spellStart"/>
      <w:r w:rsidR="009C6FB0" w:rsidRPr="005F2BD1">
        <w:rPr>
          <w:rFonts w:asciiTheme="minorHAnsi" w:hAnsiTheme="minorHAnsi"/>
          <w:sz w:val="22"/>
        </w:rPr>
        <w:t>e.g</w:t>
      </w:r>
      <w:proofErr w:type="spellEnd"/>
      <w:r w:rsidR="009C6FB0" w:rsidRPr="005F2BD1">
        <w:rPr>
          <w:rFonts w:asciiTheme="minorHAnsi" w:hAnsiTheme="minorHAnsi"/>
          <w:sz w:val="22"/>
        </w:rPr>
        <w:t xml:space="preserve"> PNPM in Indonesia and TASAF in Tanzania).</w:t>
      </w:r>
    </w:p>
    <w:p w14:paraId="47780EA7" w14:textId="77777777" w:rsidR="00CF17C3" w:rsidRPr="005F2BD1" w:rsidRDefault="00CF17C3" w:rsidP="007A63C9">
      <w:pPr>
        <w:pStyle w:val="ListParagraph"/>
        <w:spacing w:after="60"/>
        <w:ind w:left="0"/>
        <w:jc w:val="both"/>
        <w:rPr>
          <w:rFonts w:asciiTheme="minorHAnsi" w:hAnsiTheme="minorHAnsi"/>
          <w:sz w:val="22"/>
        </w:rPr>
      </w:pPr>
    </w:p>
    <w:p w14:paraId="18B9D58D" w14:textId="6CEE59D9" w:rsidR="00A97BFB" w:rsidRPr="005F2BD1" w:rsidRDefault="0058371C" w:rsidP="00012905">
      <w:pPr>
        <w:pStyle w:val="ListParagraph"/>
        <w:numPr>
          <w:ilvl w:val="0"/>
          <w:numId w:val="16"/>
        </w:numPr>
        <w:spacing w:after="60"/>
        <w:jc w:val="both"/>
        <w:rPr>
          <w:rFonts w:asciiTheme="minorHAnsi" w:hAnsiTheme="minorHAnsi"/>
          <w:sz w:val="22"/>
        </w:rPr>
      </w:pPr>
      <w:r w:rsidRPr="005F2BD1">
        <w:rPr>
          <w:rFonts w:asciiTheme="minorHAnsi" w:hAnsiTheme="minorHAnsi"/>
          <w:sz w:val="22"/>
        </w:rPr>
        <w:t xml:space="preserve">ROs </w:t>
      </w:r>
      <w:r w:rsidR="009C6FB0" w:rsidRPr="005F2BD1">
        <w:rPr>
          <w:rFonts w:asciiTheme="minorHAnsi" w:hAnsiTheme="minorHAnsi"/>
          <w:sz w:val="22"/>
        </w:rPr>
        <w:t xml:space="preserve">also </w:t>
      </w:r>
      <w:r w:rsidRPr="005F2BD1">
        <w:rPr>
          <w:rFonts w:asciiTheme="minorHAnsi" w:hAnsiTheme="minorHAnsi"/>
          <w:sz w:val="22"/>
        </w:rPr>
        <w:t xml:space="preserve">conduct </w:t>
      </w:r>
      <w:r w:rsidRPr="005F2BD1">
        <w:rPr>
          <w:rFonts w:asciiTheme="minorHAnsi" w:hAnsiTheme="minorHAnsi"/>
          <w:b/>
          <w:bCs/>
          <w:sz w:val="22"/>
        </w:rPr>
        <w:t xml:space="preserve">collective practices of </w:t>
      </w:r>
      <w:r w:rsidR="00A5203A">
        <w:rPr>
          <w:rFonts w:asciiTheme="minorHAnsi" w:hAnsiTheme="minorHAnsi"/>
          <w:b/>
          <w:bCs/>
          <w:sz w:val="22"/>
        </w:rPr>
        <w:t>risk management</w:t>
      </w:r>
      <w:r w:rsidRPr="005F2BD1">
        <w:rPr>
          <w:rFonts w:asciiTheme="minorHAnsi" w:hAnsiTheme="minorHAnsi"/>
          <w:sz w:val="22"/>
        </w:rPr>
        <w:t xml:space="preserve"> </w:t>
      </w:r>
      <w:r w:rsidR="00B47F7D" w:rsidRPr="005F2BD1">
        <w:rPr>
          <w:rFonts w:asciiTheme="minorHAnsi" w:hAnsiTheme="minorHAnsi"/>
          <w:sz w:val="22"/>
        </w:rPr>
        <w:t>supporting</w:t>
      </w:r>
      <w:r w:rsidRPr="005F2BD1">
        <w:rPr>
          <w:rFonts w:asciiTheme="minorHAnsi" w:hAnsiTheme="minorHAnsi"/>
          <w:sz w:val="22"/>
        </w:rPr>
        <w:t xml:space="preserve"> their members </w:t>
      </w:r>
      <w:r w:rsidR="00B47F7D" w:rsidRPr="005F2BD1">
        <w:rPr>
          <w:rFonts w:asciiTheme="minorHAnsi" w:hAnsiTheme="minorHAnsi"/>
          <w:sz w:val="22"/>
        </w:rPr>
        <w:t xml:space="preserve">in managing, preventing and coping with risk, </w:t>
      </w:r>
      <w:r w:rsidR="00120259" w:rsidRPr="005F2BD1">
        <w:rPr>
          <w:rFonts w:asciiTheme="minorHAnsi" w:hAnsiTheme="minorHAnsi"/>
          <w:sz w:val="22"/>
        </w:rPr>
        <w:t>smoothing consumption</w:t>
      </w:r>
      <w:r w:rsidR="00B47F7D" w:rsidRPr="005F2BD1">
        <w:rPr>
          <w:rFonts w:asciiTheme="minorHAnsi" w:hAnsiTheme="minorHAnsi"/>
          <w:sz w:val="22"/>
        </w:rPr>
        <w:t xml:space="preserve"> and stabilis</w:t>
      </w:r>
      <w:r w:rsidR="005A5E37" w:rsidRPr="005F2BD1">
        <w:rPr>
          <w:rFonts w:asciiTheme="minorHAnsi" w:hAnsiTheme="minorHAnsi"/>
          <w:sz w:val="22"/>
        </w:rPr>
        <w:t>ing</w:t>
      </w:r>
      <w:r w:rsidR="00B47F7D" w:rsidRPr="005F2BD1">
        <w:rPr>
          <w:rFonts w:asciiTheme="minorHAnsi" w:hAnsiTheme="minorHAnsi"/>
          <w:sz w:val="22"/>
        </w:rPr>
        <w:t xml:space="preserve"> their incomes. </w:t>
      </w:r>
      <w:r w:rsidR="00DE4D89" w:rsidRPr="005F2BD1">
        <w:rPr>
          <w:rFonts w:asciiTheme="minorHAnsi" w:hAnsiTheme="minorHAnsi"/>
          <w:sz w:val="22"/>
        </w:rPr>
        <w:t xml:space="preserve">Collective practices of SP exist but are </w:t>
      </w:r>
      <w:r w:rsidR="00120259" w:rsidRPr="005F2BD1">
        <w:rPr>
          <w:rFonts w:asciiTheme="minorHAnsi" w:hAnsiTheme="minorHAnsi"/>
          <w:sz w:val="22"/>
        </w:rPr>
        <w:t>often</w:t>
      </w:r>
      <w:r w:rsidR="00DE4D89" w:rsidRPr="005F2BD1">
        <w:rPr>
          <w:rFonts w:asciiTheme="minorHAnsi" w:hAnsiTheme="minorHAnsi"/>
          <w:sz w:val="22"/>
        </w:rPr>
        <w:t xml:space="preserve"> disregarded by national SP policies. Conversely, governments could build upon existing nets of protection, using and/or complementing their structures instead of substituting them. </w:t>
      </w:r>
      <w:r w:rsidR="007D1EB9" w:rsidRPr="005F2BD1">
        <w:rPr>
          <w:rFonts w:asciiTheme="minorHAnsi" w:hAnsiTheme="minorHAnsi"/>
          <w:sz w:val="22"/>
        </w:rPr>
        <w:t xml:space="preserve">The following can serve as examples. </w:t>
      </w:r>
      <w:proofErr w:type="spellStart"/>
      <w:r w:rsidR="007D1EB9" w:rsidRPr="005F2BD1">
        <w:rPr>
          <w:rFonts w:asciiTheme="minorHAnsi" w:hAnsiTheme="minorHAnsi"/>
          <w:b/>
          <w:bCs/>
          <w:sz w:val="22"/>
        </w:rPr>
        <w:t>Microinsurance</w:t>
      </w:r>
      <w:proofErr w:type="spellEnd"/>
      <w:r w:rsidR="007D1EB9" w:rsidRPr="005F2BD1">
        <w:rPr>
          <w:rFonts w:asciiTheme="minorHAnsi" w:hAnsiTheme="minorHAnsi"/>
          <w:b/>
          <w:bCs/>
          <w:sz w:val="22"/>
        </w:rPr>
        <w:t xml:space="preserve"> organisations</w:t>
      </w:r>
      <w:r w:rsidR="007D1EB9" w:rsidRPr="005F2BD1">
        <w:rPr>
          <w:rFonts w:asciiTheme="minorHAnsi" w:hAnsiTheme="minorHAnsi"/>
          <w:sz w:val="22"/>
        </w:rPr>
        <w:t xml:space="preserve"> have the function of helping rural people </w:t>
      </w:r>
      <w:r w:rsidR="00CF17C3">
        <w:rPr>
          <w:rFonts w:asciiTheme="minorHAnsi" w:hAnsiTheme="minorHAnsi"/>
          <w:sz w:val="22"/>
        </w:rPr>
        <w:t>cope with</w:t>
      </w:r>
      <w:r w:rsidR="007D1EB9" w:rsidRPr="005F2BD1">
        <w:rPr>
          <w:rFonts w:asciiTheme="minorHAnsi" w:hAnsiTheme="minorHAnsi"/>
          <w:sz w:val="22"/>
        </w:rPr>
        <w:t xml:space="preserve"> shocks and crisis, preventing los</w:t>
      </w:r>
      <w:r w:rsidR="00CF17C3">
        <w:rPr>
          <w:rFonts w:asciiTheme="minorHAnsi" w:hAnsiTheme="minorHAnsi"/>
          <w:sz w:val="22"/>
        </w:rPr>
        <w:t>s</w:t>
      </w:r>
      <w:r w:rsidR="007D1EB9" w:rsidRPr="005F2BD1">
        <w:rPr>
          <w:rFonts w:asciiTheme="minorHAnsi" w:hAnsiTheme="minorHAnsi"/>
          <w:sz w:val="22"/>
        </w:rPr>
        <w:t xml:space="preserve"> or reduction of their incomes, saving lives in cases of severe shocks and destitution. Their services include compensation schemes covering the loss of personal assets, crop failures, health, death, loan protection, and shelter provision</w:t>
      </w:r>
      <w:r w:rsidR="00012905" w:rsidRPr="005F2BD1">
        <w:rPr>
          <w:rStyle w:val="FootnoteReference"/>
          <w:rFonts w:asciiTheme="minorHAnsi" w:hAnsiTheme="minorHAnsi"/>
          <w:sz w:val="22"/>
        </w:rPr>
        <w:footnoteReference w:id="5"/>
      </w:r>
      <w:r w:rsidR="007D1EB9" w:rsidRPr="005F2BD1">
        <w:rPr>
          <w:rFonts w:asciiTheme="minorHAnsi" w:hAnsiTheme="minorHAnsi"/>
          <w:sz w:val="22"/>
        </w:rPr>
        <w:t xml:space="preserve">. </w:t>
      </w:r>
      <w:r w:rsidR="007D1EB9" w:rsidRPr="005F2BD1">
        <w:rPr>
          <w:rFonts w:asciiTheme="minorHAnsi" w:hAnsiTheme="minorHAnsi"/>
          <w:b/>
          <w:bCs/>
          <w:sz w:val="22"/>
        </w:rPr>
        <w:t>Microfinance organisations</w:t>
      </w:r>
      <w:r w:rsidR="007D1EB9" w:rsidRPr="005F2BD1">
        <w:rPr>
          <w:rFonts w:asciiTheme="minorHAnsi" w:hAnsiTheme="minorHAnsi"/>
          <w:sz w:val="22"/>
        </w:rPr>
        <w:t xml:space="preserve">, e.g. the Savings and Credit Cooperatives (SACCOs), offer opportunities for accessing indispensable liquidity to sustain or start productive activities to vulnerable citizens, often excluded from the formal banking system. </w:t>
      </w:r>
      <w:r w:rsidR="007D1EB9" w:rsidRPr="005F2BD1">
        <w:rPr>
          <w:rFonts w:asciiTheme="minorHAnsi" w:hAnsiTheme="minorHAnsi"/>
          <w:b/>
          <w:bCs/>
          <w:sz w:val="22"/>
        </w:rPr>
        <w:t xml:space="preserve">Producers’ organisations </w:t>
      </w:r>
      <w:r w:rsidR="007D1EB9" w:rsidRPr="005F2BD1">
        <w:rPr>
          <w:rFonts w:asciiTheme="minorHAnsi" w:hAnsiTheme="minorHAnsi"/>
          <w:sz w:val="22"/>
        </w:rPr>
        <w:t>(</w:t>
      </w:r>
      <w:r w:rsidR="007D1EB9" w:rsidRPr="005F2BD1">
        <w:rPr>
          <w:rFonts w:asciiTheme="minorHAnsi" w:hAnsiTheme="minorHAnsi"/>
          <w:b/>
          <w:bCs/>
          <w:sz w:val="22"/>
        </w:rPr>
        <w:t>POs</w:t>
      </w:r>
      <w:r w:rsidR="007D1EB9" w:rsidRPr="005F2BD1">
        <w:rPr>
          <w:rFonts w:asciiTheme="minorHAnsi" w:hAnsiTheme="minorHAnsi"/>
          <w:sz w:val="22"/>
        </w:rPr>
        <w:t xml:space="preserve">), including farmers’ organisations and agricultural cooperatives, </w:t>
      </w:r>
      <w:r w:rsidR="007D1EB9" w:rsidRPr="005F2BD1">
        <w:rPr>
          <w:rFonts w:asciiTheme="minorHAnsi" w:hAnsiTheme="minorHAnsi"/>
          <w:b/>
          <w:bCs/>
          <w:sz w:val="22"/>
        </w:rPr>
        <w:t>traders’</w:t>
      </w:r>
      <w:r w:rsidR="007D1EB9" w:rsidRPr="005F2BD1">
        <w:rPr>
          <w:rFonts w:asciiTheme="minorHAnsi" w:hAnsiTheme="minorHAnsi"/>
          <w:sz w:val="22"/>
        </w:rPr>
        <w:t xml:space="preserve"> and </w:t>
      </w:r>
      <w:r w:rsidR="007D1EB9" w:rsidRPr="005F2BD1">
        <w:rPr>
          <w:rFonts w:asciiTheme="minorHAnsi" w:hAnsiTheme="minorHAnsi"/>
          <w:b/>
          <w:bCs/>
          <w:sz w:val="22"/>
        </w:rPr>
        <w:t>processors’ organisations</w:t>
      </w:r>
      <w:r w:rsidR="007D1EB9" w:rsidRPr="005F2BD1">
        <w:rPr>
          <w:rFonts w:asciiTheme="minorHAnsi" w:hAnsiTheme="minorHAnsi"/>
          <w:sz w:val="22"/>
        </w:rPr>
        <w:t xml:space="preserve"> establish collective arrangements with several functions: stabilizing prices (grain reserves and warehouse receipt systems), promoting production through loans (revolving funds) and increasing incomes (local procurement markets). They also run </w:t>
      </w:r>
      <w:proofErr w:type="spellStart"/>
      <w:r w:rsidR="007D1EB9" w:rsidRPr="005F2BD1">
        <w:rPr>
          <w:rFonts w:asciiTheme="minorHAnsi" w:hAnsiTheme="minorHAnsi"/>
          <w:sz w:val="22"/>
        </w:rPr>
        <w:t>microinsurance</w:t>
      </w:r>
      <w:proofErr w:type="spellEnd"/>
      <w:r w:rsidR="007D1EB9" w:rsidRPr="005F2BD1">
        <w:rPr>
          <w:rFonts w:asciiTheme="minorHAnsi" w:hAnsiTheme="minorHAnsi"/>
          <w:sz w:val="22"/>
        </w:rPr>
        <w:t xml:space="preserve"> schemes focusing on specific commodities or livestock. Several </w:t>
      </w:r>
      <w:r w:rsidR="007D1EB9" w:rsidRPr="005F2BD1">
        <w:rPr>
          <w:rFonts w:asciiTheme="minorHAnsi" w:hAnsiTheme="minorHAnsi"/>
          <w:b/>
          <w:bCs/>
          <w:sz w:val="22"/>
        </w:rPr>
        <w:t>informal groups</w:t>
      </w:r>
      <w:r w:rsidR="007D1EB9" w:rsidRPr="005F2BD1">
        <w:rPr>
          <w:rFonts w:asciiTheme="minorHAnsi" w:hAnsiTheme="minorHAnsi"/>
          <w:sz w:val="22"/>
        </w:rPr>
        <w:t xml:space="preserve"> of rural poor are not formally registered</w:t>
      </w:r>
      <w:r w:rsidR="007D1EB9" w:rsidRPr="005F2BD1">
        <w:rPr>
          <w:sz w:val="22"/>
        </w:rPr>
        <w:t xml:space="preserve"> </w:t>
      </w:r>
      <w:r w:rsidR="007D1EB9" w:rsidRPr="005F2BD1">
        <w:rPr>
          <w:rFonts w:asciiTheme="minorHAnsi" w:hAnsiTheme="minorHAnsi"/>
          <w:sz w:val="22"/>
        </w:rPr>
        <w:t xml:space="preserve">through national policies and laws, but </w:t>
      </w:r>
      <w:r w:rsidR="00CF17C3">
        <w:rPr>
          <w:rFonts w:asciiTheme="minorHAnsi" w:hAnsiTheme="minorHAnsi"/>
          <w:sz w:val="22"/>
        </w:rPr>
        <w:t xml:space="preserve">are </w:t>
      </w:r>
      <w:r w:rsidR="005A5E37" w:rsidRPr="005F2BD1">
        <w:rPr>
          <w:rFonts w:asciiTheme="minorHAnsi" w:hAnsiTheme="minorHAnsi"/>
          <w:sz w:val="22"/>
        </w:rPr>
        <w:t xml:space="preserve">integral to </w:t>
      </w:r>
      <w:r w:rsidR="007D1EB9" w:rsidRPr="005F2BD1">
        <w:rPr>
          <w:rFonts w:asciiTheme="minorHAnsi" w:hAnsiTheme="minorHAnsi"/>
          <w:sz w:val="22"/>
        </w:rPr>
        <w:t xml:space="preserve">the social structures of local communities. In </w:t>
      </w:r>
      <w:r w:rsidR="005A5E37" w:rsidRPr="005F2BD1">
        <w:rPr>
          <w:rFonts w:asciiTheme="minorHAnsi" w:hAnsiTheme="minorHAnsi"/>
          <w:sz w:val="22"/>
        </w:rPr>
        <w:t xml:space="preserve">some </w:t>
      </w:r>
      <w:r w:rsidR="007D1EB9" w:rsidRPr="005F2BD1">
        <w:rPr>
          <w:rFonts w:asciiTheme="minorHAnsi" w:hAnsiTheme="minorHAnsi"/>
          <w:sz w:val="22"/>
        </w:rPr>
        <w:t xml:space="preserve">cases, these groups offer access to liquidity for community members </w:t>
      </w:r>
      <w:r w:rsidR="005A5E37" w:rsidRPr="005F2BD1">
        <w:rPr>
          <w:rFonts w:asciiTheme="minorHAnsi" w:hAnsiTheme="minorHAnsi"/>
          <w:sz w:val="22"/>
        </w:rPr>
        <w:t xml:space="preserve">in times of disaster or need, </w:t>
      </w:r>
      <w:r w:rsidR="007D1EB9" w:rsidRPr="005F2BD1">
        <w:rPr>
          <w:rFonts w:asciiTheme="minorHAnsi" w:hAnsiTheme="minorHAnsi"/>
          <w:sz w:val="22"/>
        </w:rPr>
        <w:t xml:space="preserve">to resist shocks or to start subsistence activities. They can take the form of community savings and loan schemes, such as the Rotating Savings and Credit Associations (ROSCAs), the Accumulated Savings and Credit Associations (ASCAs), Village Savings and Loan Associations (VSLAs) or provide basic social services (e.g. burial associations, shared tenancy groups). </w:t>
      </w:r>
    </w:p>
    <w:p w14:paraId="2C42473C" w14:textId="77777777" w:rsidR="00016780" w:rsidRDefault="009828DE" w:rsidP="00481785">
      <w:pPr>
        <w:spacing w:after="60"/>
        <w:jc w:val="both"/>
        <w:rPr>
          <w:rFonts w:asciiTheme="minorHAnsi" w:hAnsiTheme="minorHAnsi"/>
          <w:sz w:val="20"/>
          <w:szCs w:val="20"/>
        </w:rPr>
      </w:pPr>
      <w:r>
        <w:rPr>
          <w:rFonts w:asciiTheme="minorHAnsi" w:hAnsiTheme="minorHAnsi"/>
          <w:bCs/>
          <w:noProof/>
          <w:sz w:val="20"/>
          <w:szCs w:val="20"/>
          <w:lang w:eastAsia="en-GB"/>
        </w:rPr>
      </w:r>
      <w:r>
        <w:rPr>
          <w:rFonts w:asciiTheme="minorHAnsi" w:hAnsiTheme="minorHAnsi"/>
          <w:bCs/>
          <w:noProof/>
          <w:sz w:val="20"/>
          <w:szCs w:val="20"/>
          <w:lang w:eastAsia="en-GB"/>
        </w:rPr>
        <w:pict w14:anchorId="3A13D983">
          <v:shape id="_x0000_s1026" type="#_x0000_t202" style="width:453.05pt;height:57.75pt;visibility:visible;mso-left-percent:-10001;mso-top-percent:-10001;mso-position-horizontal:absolute;mso-position-horizontal-relative:char;mso-position-vertical:absolute;mso-position-vertical-relative:line;mso-left-percent:-10001;mso-top-percent:-10001" fillcolor="#8aabd3 [2132]" strokecolor="#243f60 [1604]" strokeweight="1.5pt">
            <v:fill color2="#d6e2f0 [756]" colors="0 #9ab5e4;.5 #c2d1ed;1 #e1e8f5" focus="100%" type="gradient">
              <o:fill v:ext="view" type="gradientUnscaled"/>
            </v:fill>
            <v:textbox>
              <w:txbxContent>
                <w:p w14:paraId="76329FB1" w14:textId="77777777" w:rsidR="0080688F" w:rsidRPr="000B3C14" w:rsidRDefault="0080688F" w:rsidP="009C6FB0">
                  <w:pPr>
                    <w:spacing w:after="60"/>
                    <w:jc w:val="both"/>
                    <w:rPr>
                      <w:rFonts w:asciiTheme="minorHAnsi" w:hAnsiTheme="minorHAnsi"/>
                      <w:bCs/>
                      <w:sz w:val="18"/>
                      <w:szCs w:val="18"/>
                    </w:rPr>
                  </w:pPr>
                  <w:r>
                    <w:rPr>
                      <w:rFonts w:asciiTheme="minorHAnsi" w:hAnsiTheme="minorHAnsi"/>
                      <w:bCs/>
                      <w:iCs/>
                      <w:sz w:val="18"/>
                      <w:szCs w:val="18"/>
                    </w:rPr>
                    <w:t>By looking broadly at ROs, there is a</w:t>
                  </w:r>
                  <w:r w:rsidRPr="002F7E7B">
                    <w:rPr>
                      <w:rFonts w:asciiTheme="minorHAnsi" w:hAnsiTheme="minorHAnsi"/>
                      <w:bCs/>
                      <w:iCs/>
                      <w:sz w:val="18"/>
                      <w:szCs w:val="18"/>
                    </w:rPr>
                    <w:t xml:space="preserve"> risk to distort the nature of SP including any practice of livelihood promotion. For this reason, </w:t>
                  </w:r>
                  <w:r w:rsidRPr="002F7E7B">
                    <w:rPr>
                      <w:rFonts w:asciiTheme="minorHAnsi" w:hAnsiTheme="minorHAnsi"/>
                      <w:b/>
                      <w:iCs/>
                      <w:sz w:val="18"/>
                      <w:szCs w:val="18"/>
                    </w:rPr>
                    <w:t xml:space="preserve">we will refer to SP where practices strictly address situations of </w:t>
                  </w:r>
                  <w:r>
                    <w:rPr>
                      <w:rFonts w:asciiTheme="minorHAnsi" w:hAnsiTheme="minorHAnsi"/>
                      <w:b/>
                      <w:iCs/>
                      <w:sz w:val="18"/>
                      <w:szCs w:val="18"/>
                    </w:rPr>
                    <w:t xml:space="preserve">poverty and </w:t>
                  </w:r>
                  <w:r w:rsidRPr="002F7E7B">
                    <w:rPr>
                      <w:rFonts w:asciiTheme="minorHAnsi" w:hAnsiTheme="minorHAnsi"/>
                      <w:b/>
                      <w:iCs/>
                      <w:sz w:val="18"/>
                      <w:szCs w:val="18"/>
                    </w:rPr>
                    <w:t xml:space="preserve">vulnerability, </w:t>
                  </w:r>
                  <w:r w:rsidRPr="002F7E7B">
                    <w:rPr>
                      <w:rFonts w:asciiTheme="minorHAnsi" w:hAnsiTheme="minorHAnsi"/>
                      <w:b/>
                      <w:i/>
                      <w:sz w:val="18"/>
                      <w:szCs w:val="18"/>
                    </w:rPr>
                    <w:t>i.e.</w:t>
                  </w:r>
                  <w:r w:rsidRPr="002F7E7B">
                    <w:rPr>
                      <w:rFonts w:asciiTheme="minorHAnsi" w:hAnsiTheme="minorHAnsi"/>
                      <w:b/>
                      <w:iCs/>
                      <w:sz w:val="18"/>
                      <w:szCs w:val="18"/>
                    </w:rPr>
                    <w:t xml:space="preserve"> when, if such practices were not put in place, targeted beneficiaries would not be able to provide for their basic needs (food, health, shelter, basic education), or would seriously </w:t>
                  </w:r>
                  <w:r>
                    <w:rPr>
                      <w:rFonts w:asciiTheme="minorHAnsi" w:hAnsiTheme="minorHAnsi"/>
                      <w:b/>
                      <w:iCs/>
                      <w:sz w:val="18"/>
                      <w:szCs w:val="18"/>
                    </w:rPr>
                    <w:t>risk incurring</w:t>
                  </w:r>
                  <w:r w:rsidRPr="002F7E7B">
                    <w:rPr>
                      <w:rFonts w:asciiTheme="minorHAnsi" w:hAnsiTheme="minorHAnsi"/>
                      <w:b/>
                      <w:iCs/>
                      <w:sz w:val="18"/>
                      <w:szCs w:val="18"/>
                    </w:rPr>
                    <w:t xml:space="preserve"> in </w:t>
                  </w:r>
                  <w:r>
                    <w:rPr>
                      <w:rFonts w:asciiTheme="minorHAnsi" w:hAnsiTheme="minorHAnsi"/>
                      <w:b/>
                      <w:iCs/>
                      <w:sz w:val="18"/>
                      <w:szCs w:val="18"/>
                    </w:rPr>
                    <w:t>such situations</w:t>
                  </w:r>
                  <w:r w:rsidRPr="002F7E7B">
                    <w:rPr>
                      <w:rFonts w:asciiTheme="minorHAnsi" w:hAnsiTheme="minorHAnsi"/>
                      <w:bCs/>
                      <w:iCs/>
                      <w:sz w:val="18"/>
                      <w:szCs w:val="18"/>
                    </w:rPr>
                    <w:t xml:space="preserve">. </w:t>
                  </w:r>
                </w:p>
              </w:txbxContent>
            </v:textbox>
            <w10:wrap type="none"/>
            <w10:anchorlock/>
          </v:shape>
        </w:pict>
      </w:r>
    </w:p>
    <w:p w14:paraId="05B38771" w14:textId="77777777" w:rsidR="0047459B" w:rsidRPr="005F2BD1" w:rsidRDefault="00025D27" w:rsidP="00F35880">
      <w:pPr>
        <w:spacing w:after="60"/>
        <w:jc w:val="both"/>
        <w:rPr>
          <w:rFonts w:asciiTheme="minorHAnsi" w:hAnsiTheme="minorHAnsi"/>
          <w:sz w:val="22"/>
        </w:rPr>
      </w:pPr>
      <w:r w:rsidRPr="005F2BD1">
        <w:rPr>
          <w:rFonts w:asciiTheme="minorHAnsi" w:hAnsiTheme="minorHAnsi"/>
          <w:sz w:val="22"/>
        </w:rPr>
        <w:t>The inventory responds to the specific interest of achieving a better understanding of bottom-up and local solutions for providing SP to the rural poor.</w:t>
      </w:r>
      <w:r w:rsidR="00F35880" w:rsidRPr="005F2BD1">
        <w:rPr>
          <w:rFonts w:asciiTheme="minorHAnsi" w:hAnsiTheme="minorHAnsi"/>
          <w:sz w:val="22"/>
        </w:rPr>
        <w:t xml:space="preserve"> </w:t>
      </w:r>
      <w:r w:rsidRPr="005F2BD1">
        <w:rPr>
          <w:rFonts w:asciiTheme="minorHAnsi" w:hAnsiTheme="minorHAnsi"/>
          <w:sz w:val="22"/>
        </w:rPr>
        <w:t xml:space="preserve"> It will increase FAO’s knowledge and allow FAO to better inform governments and other development practitioners on SP policies and interventions </w:t>
      </w:r>
      <w:r w:rsidR="00F35880" w:rsidRPr="005F2BD1">
        <w:rPr>
          <w:rFonts w:asciiTheme="minorHAnsi" w:hAnsiTheme="minorHAnsi"/>
          <w:sz w:val="22"/>
        </w:rPr>
        <w:lastRenderedPageBreak/>
        <w:t>promoting</w:t>
      </w:r>
      <w:r w:rsidRPr="005F2BD1">
        <w:rPr>
          <w:rFonts w:asciiTheme="minorHAnsi" w:hAnsiTheme="minorHAnsi"/>
          <w:sz w:val="22"/>
        </w:rPr>
        <w:t xml:space="preserve"> a variety of local arrangements. </w:t>
      </w:r>
      <w:r w:rsidR="007A2593" w:rsidRPr="005F2BD1">
        <w:rPr>
          <w:rFonts w:asciiTheme="minorHAnsi" w:hAnsiTheme="minorHAnsi"/>
          <w:sz w:val="22"/>
        </w:rPr>
        <w:t>Finally</w:t>
      </w:r>
      <w:r w:rsidR="007A6EF9" w:rsidRPr="005F2BD1">
        <w:rPr>
          <w:rFonts w:asciiTheme="minorHAnsi" w:hAnsiTheme="minorHAnsi"/>
          <w:sz w:val="22"/>
        </w:rPr>
        <w:t>, it</w:t>
      </w:r>
      <w:r w:rsidRPr="005F2BD1">
        <w:rPr>
          <w:rFonts w:asciiTheme="minorHAnsi" w:hAnsiTheme="minorHAnsi"/>
          <w:sz w:val="22"/>
        </w:rPr>
        <w:t xml:space="preserve"> </w:t>
      </w:r>
      <w:r w:rsidR="006906EB" w:rsidRPr="005F2BD1">
        <w:rPr>
          <w:rFonts w:asciiTheme="minorHAnsi" w:hAnsiTheme="minorHAnsi"/>
          <w:sz w:val="22"/>
        </w:rPr>
        <w:t xml:space="preserve">will constitute </w:t>
      </w:r>
      <w:r w:rsidR="009D77A8" w:rsidRPr="005F2BD1">
        <w:rPr>
          <w:rFonts w:asciiTheme="minorHAnsi" w:hAnsiTheme="minorHAnsi"/>
          <w:sz w:val="22"/>
        </w:rPr>
        <w:t xml:space="preserve">a </w:t>
      </w:r>
      <w:r w:rsidR="007A2593" w:rsidRPr="005F2BD1">
        <w:rPr>
          <w:rFonts w:asciiTheme="minorHAnsi" w:hAnsiTheme="minorHAnsi"/>
          <w:sz w:val="22"/>
        </w:rPr>
        <w:t>by-product of</w:t>
      </w:r>
      <w:r w:rsidR="006906EB" w:rsidRPr="005F2BD1">
        <w:rPr>
          <w:rFonts w:asciiTheme="minorHAnsi" w:hAnsiTheme="minorHAnsi"/>
          <w:sz w:val="22"/>
        </w:rPr>
        <w:t xml:space="preserve"> </w:t>
      </w:r>
      <w:r w:rsidR="009D77A8" w:rsidRPr="005F2BD1">
        <w:rPr>
          <w:rFonts w:asciiTheme="minorHAnsi" w:hAnsiTheme="minorHAnsi"/>
          <w:sz w:val="22"/>
        </w:rPr>
        <w:t>FAO’s</w:t>
      </w:r>
      <w:r w:rsidR="00427B19" w:rsidRPr="005F2BD1">
        <w:rPr>
          <w:rFonts w:asciiTheme="minorHAnsi" w:hAnsiTheme="minorHAnsi"/>
          <w:sz w:val="22"/>
        </w:rPr>
        <w:t xml:space="preserve"> 2015</w:t>
      </w:r>
      <w:r w:rsidR="005E2125" w:rsidRPr="005F2BD1">
        <w:rPr>
          <w:rFonts w:asciiTheme="minorHAnsi" w:hAnsiTheme="minorHAnsi"/>
          <w:sz w:val="22"/>
        </w:rPr>
        <w:t xml:space="preserve"> State Of Food and Agriculture</w:t>
      </w:r>
      <w:r w:rsidR="00427B19" w:rsidRPr="005F2BD1">
        <w:rPr>
          <w:rFonts w:asciiTheme="minorHAnsi" w:hAnsiTheme="minorHAnsi"/>
          <w:sz w:val="22"/>
        </w:rPr>
        <w:t xml:space="preserve"> (SOFA) </w:t>
      </w:r>
      <w:r w:rsidR="005E2125" w:rsidRPr="005F2BD1">
        <w:rPr>
          <w:rFonts w:asciiTheme="minorHAnsi" w:hAnsiTheme="minorHAnsi"/>
          <w:sz w:val="22"/>
        </w:rPr>
        <w:t>dedicated to Social Protection</w:t>
      </w:r>
      <w:r w:rsidR="009D77A8" w:rsidRPr="005F2BD1">
        <w:rPr>
          <w:rStyle w:val="FootnoteReference"/>
          <w:rFonts w:asciiTheme="minorHAnsi" w:hAnsiTheme="minorHAnsi"/>
          <w:sz w:val="22"/>
        </w:rPr>
        <w:footnoteReference w:id="6"/>
      </w:r>
      <w:r w:rsidR="005E2125" w:rsidRPr="005F2BD1">
        <w:rPr>
          <w:rFonts w:asciiTheme="minorHAnsi" w:hAnsiTheme="minorHAnsi"/>
          <w:sz w:val="22"/>
        </w:rPr>
        <w:t>.</w:t>
      </w:r>
      <w:r w:rsidR="00427B19" w:rsidRPr="005F2BD1">
        <w:rPr>
          <w:rFonts w:asciiTheme="minorHAnsi" w:hAnsiTheme="minorHAnsi"/>
          <w:sz w:val="22"/>
        </w:rPr>
        <w:t xml:space="preserve"> </w:t>
      </w:r>
    </w:p>
    <w:p w14:paraId="535FA7D5" w14:textId="77777777" w:rsidR="00F658AA" w:rsidRPr="005F2BD1" w:rsidRDefault="00F658AA" w:rsidP="00DD1162">
      <w:pPr>
        <w:spacing w:after="60"/>
        <w:jc w:val="both"/>
        <w:rPr>
          <w:rFonts w:asciiTheme="minorHAnsi" w:hAnsiTheme="minorHAnsi"/>
          <w:b/>
          <w:bCs/>
          <w:i/>
          <w:iCs/>
          <w:color w:val="244061" w:themeColor="accent1" w:themeShade="80"/>
          <w:sz w:val="22"/>
        </w:rPr>
      </w:pPr>
      <w:r w:rsidRPr="005F2BD1">
        <w:rPr>
          <w:rFonts w:asciiTheme="minorHAnsi" w:hAnsiTheme="minorHAnsi"/>
          <w:b/>
          <w:bCs/>
          <w:i/>
          <w:iCs/>
          <w:color w:val="244061" w:themeColor="accent1" w:themeShade="80"/>
          <w:sz w:val="22"/>
        </w:rPr>
        <w:t>Objectives</w:t>
      </w:r>
      <w:r w:rsidR="008F0B1B" w:rsidRPr="005F2BD1">
        <w:rPr>
          <w:rFonts w:asciiTheme="minorHAnsi" w:hAnsiTheme="minorHAnsi"/>
          <w:b/>
          <w:bCs/>
          <w:i/>
          <w:iCs/>
          <w:color w:val="244061" w:themeColor="accent1" w:themeShade="80"/>
          <w:sz w:val="22"/>
        </w:rPr>
        <w:t xml:space="preserve"> and</w:t>
      </w:r>
      <w:r w:rsidR="009D77A8" w:rsidRPr="005F2BD1">
        <w:rPr>
          <w:rFonts w:asciiTheme="minorHAnsi" w:hAnsiTheme="minorHAnsi"/>
          <w:b/>
          <w:bCs/>
          <w:i/>
          <w:iCs/>
          <w:color w:val="244061" w:themeColor="accent1" w:themeShade="80"/>
          <w:sz w:val="22"/>
        </w:rPr>
        <w:t xml:space="preserve"> audience </w:t>
      </w:r>
    </w:p>
    <w:p w14:paraId="17B66F8C" w14:textId="7E20C1CD" w:rsidR="009D77A8" w:rsidRPr="005F2BD1" w:rsidRDefault="009D77A8" w:rsidP="00BC368E">
      <w:pPr>
        <w:spacing w:after="60"/>
        <w:jc w:val="both"/>
        <w:rPr>
          <w:rFonts w:asciiTheme="minorHAnsi" w:hAnsiTheme="minorHAnsi"/>
          <w:sz w:val="22"/>
        </w:rPr>
      </w:pPr>
      <w:r w:rsidRPr="005F2BD1">
        <w:rPr>
          <w:rFonts w:asciiTheme="minorHAnsi" w:hAnsiTheme="minorHAnsi"/>
          <w:sz w:val="22"/>
        </w:rPr>
        <w:t xml:space="preserve">OBJECTIVES – </w:t>
      </w:r>
      <w:r w:rsidR="00DE49E1" w:rsidRPr="005F2BD1">
        <w:rPr>
          <w:rFonts w:asciiTheme="minorHAnsi" w:hAnsiTheme="minorHAnsi"/>
          <w:sz w:val="22"/>
        </w:rPr>
        <w:t xml:space="preserve">The main objective of the inventory is to </w:t>
      </w:r>
      <w:r w:rsidR="00F35880" w:rsidRPr="005F2BD1">
        <w:rPr>
          <w:rFonts w:asciiTheme="minorHAnsi" w:hAnsiTheme="minorHAnsi"/>
          <w:b/>
          <w:bCs/>
          <w:sz w:val="22"/>
        </w:rPr>
        <w:t xml:space="preserve">build a </w:t>
      </w:r>
      <w:r w:rsidRPr="005F2BD1">
        <w:rPr>
          <w:rFonts w:asciiTheme="minorHAnsi" w:hAnsiTheme="minorHAnsi"/>
          <w:b/>
          <w:bCs/>
          <w:sz w:val="22"/>
        </w:rPr>
        <w:t>knowledge base</w:t>
      </w:r>
      <w:r w:rsidR="00F35880" w:rsidRPr="005F2BD1">
        <w:rPr>
          <w:rFonts w:asciiTheme="minorHAnsi" w:hAnsiTheme="minorHAnsi"/>
          <w:b/>
          <w:bCs/>
          <w:sz w:val="22"/>
        </w:rPr>
        <w:t xml:space="preserve"> on the current and potential role of ROs in SP</w:t>
      </w:r>
      <w:r w:rsidR="00F35880" w:rsidRPr="005F2BD1">
        <w:rPr>
          <w:rFonts w:asciiTheme="minorHAnsi" w:hAnsiTheme="minorHAnsi"/>
          <w:sz w:val="22"/>
        </w:rPr>
        <w:t xml:space="preserve">. This will be achieved by </w:t>
      </w:r>
      <w:r w:rsidR="00DE49E1" w:rsidRPr="005F2BD1">
        <w:rPr>
          <w:rFonts w:asciiTheme="minorHAnsi" w:hAnsiTheme="minorHAnsi"/>
          <w:sz w:val="22"/>
        </w:rPr>
        <w:t>p</w:t>
      </w:r>
      <w:r w:rsidR="00F35880" w:rsidRPr="005F2BD1">
        <w:rPr>
          <w:rFonts w:asciiTheme="minorHAnsi" w:hAnsiTheme="minorHAnsi"/>
          <w:sz w:val="22"/>
        </w:rPr>
        <w:t>roviding</w:t>
      </w:r>
      <w:r w:rsidR="002700A8" w:rsidRPr="005F2BD1">
        <w:rPr>
          <w:rFonts w:asciiTheme="minorHAnsi" w:hAnsiTheme="minorHAnsi"/>
          <w:sz w:val="22"/>
        </w:rPr>
        <w:t xml:space="preserve"> a</w:t>
      </w:r>
      <w:r w:rsidR="00DE49E1" w:rsidRPr="005F2BD1">
        <w:rPr>
          <w:rFonts w:asciiTheme="minorHAnsi" w:hAnsiTheme="minorHAnsi"/>
          <w:sz w:val="22"/>
        </w:rPr>
        <w:t xml:space="preserve"> broad col</w:t>
      </w:r>
      <w:r w:rsidR="00BA54CF" w:rsidRPr="005F2BD1">
        <w:rPr>
          <w:rFonts w:asciiTheme="minorHAnsi" w:hAnsiTheme="minorHAnsi"/>
          <w:sz w:val="22"/>
        </w:rPr>
        <w:t xml:space="preserve">lection of </w:t>
      </w:r>
      <w:r w:rsidR="001777A7" w:rsidRPr="005F2BD1">
        <w:rPr>
          <w:rFonts w:asciiTheme="minorHAnsi" w:hAnsiTheme="minorHAnsi"/>
          <w:sz w:val="22"/>
        </w:rPr>
        <w:t>good</w:t>
      </w:r>
      <w:r w:rsidR="00BA54CF" w:rsidRPr="005F2BD1">
        <w:rPr>
          <w:rFonts w:asciiTheme="minorHAnsi" w:hAnsiTheme="minorHAnsi"/>
          <w:sz w:val="22"/>
        </w:rPr>
        <w:t xml:space="preserve"> practices </w:t>
      </w:r>
      <w:r w:rsidR="00D60659" w:rsidRPr="005F2BD1">
        <w:rPr>
          <w:rFonts w:asciiTheme="minorHAnsi" w:hAnsiTheme="minorHAnsi"/>
          <w:sz w:val="22"/>
        </w:rPr>
        <w:t>that capture</w:t>
      </w:r>
      <w:r w:rsidR="00F35880" w:rsidRPr="005F2BD1">
        <w:rPr>
          <w:rFonts w:asciiTheme="minorHAnsi" w:hAnsiTheme="minorHAnsi"/>
          <w:sz w:val="22"/>
        </w:rPr>
        <w:t>:</w:t>
      </w:r>
      <w:r w:rsidR="009F63F1" w:rsidRPr="005F2BD1">
        <w:rPr>
          <w:rFonts w:asciiTheme="minorHAnsi" w:hAnsiTheme="minorHAnsi"/>
          <w:sz w:val="22"/>
        </w:rPr>
        <w:t xml:space="preserve"> (</w:t>
      </w:r>
      <w:proofErr w:type="spellStart"/>
      <w:r w:rsidR="009F63F1" w:rsidRPr="005F2BD1">
        <w:rPr>
          <w:rFonts w:asciiTheme="minorHAnsi" w:hAnsiTheme="minorHAnsi"/>
          <w:sz w:val="22"/>
        </w:rPr>
        <w:t>i</w:t>
      </w:r>
      <w:proofErr w:type="spellEnd"/>
      <w:r w:rsidR="009F63F1" w:rsidRPr="005F2BD1">
        <w:rPr>
          <w:rFonts w:asciiTheme="minorHAnsi" w:hAnsiTheme="minorHAnsi"/>
          <w:sz w:val="22"/>
        </w:rPr>
        <w:t>)</w:t>
      </w:r>
      <w:r w:rsidR="00BA54CF" w:rsidRPr="005F2BD1">
        <w:rPr>
          <w:rFonts w:asciiTheme="minorHAnsi" w:hAnsiTheme="minorHAnsi"/>
          <w:sz w:val="22"/>
        </w:rPr>
        <w:t xml:space="preserve"> </w:t>
      </w:r>
      <w:r w:rsidRPr="005F2BD1">
        <w:rPr>
          <w:rFonts w:asciiTheme="minorHAnsi" w:hAnsiTheme="minorHAnsi"/>
          <w:sz w:val="22"/>
        </w:rPr>
        <w:t>participatory mechanisms in national SP systems where ROs have a consultative, collaborative or decision-making role</w:t>
      </w:r>
      <w:r w:rsidR="00F35880" w:rsidRPr="005F2BD1">
        <w:rPr>
          <w:rFonts w:asciiTheme="minorHAnsi" w:hAnsiTheme="minorHAnsi"/>
          <w:sz w:val="22"/>
        </w:rPr>
        <w:t>;</w:t>
      </w:r>
      <w:r w:rsidR="00D60659" w:rsidRPr="005F2BD1">
        <w:rPr>
          <w:rFonts w:asciiTheme="minorHAnsi" w:hAnsiTheme="minorHAnsi"/>
          <w:sz w:val="22"/>
        </w:rPr>
        <w:t xml:space="preserve"> and</w:t>
      </w:r>
      <w:r w:rsidR="009F63F1" w:rsidRPr="005F2BD1">
        <w:rPr>
          <w:rFonts w:asciiTheme="minorHAnsi" w:hAnsiTheme="minorHAnsi"/>
          <w:sz w:val="22"/>
        </w:rPr>
        <w:t xml:space="preserve"> (ii)</w:t>
      </w:r>
      <w:r w:rsidR="0006554C" w:rsidRPr="005F2BD1">
        <w:rPr>
          <w:rFonts w:asciiTheme="minorHAnsi" w:hAnsiTheme="minorHAnsi"/>
          <w:sz w:val="22"/>
        </w:rPr>
        <w:t xml:space="preserve"> </w:t>
      </w:r>
      <w:r w:rsidRPr="005F2BD1">
        <w:rPr>
          <w:rFonts w:asciiTheme="minorHAnsi" w:hAnsiTheme="minorHAnsi"/>
          <w:sz w:val="22"/>
        </w:rPr>
        <w:t xml:space="preserve">collective practices of </w:t>
      </w:r>
      <w:r w:rsidR="00A5203A">
        <w:rPr>
          <w:rFonts w:asciiTheme="minorHAnsi" w:hAnsiTheme="minorHAnsi"/>
          <w:sz w:val="22"/>
        </w:rPr>
        <w:t>risk management</w:t>
      </w:r>
      <w:r w:rsidRPr="005F2BD1">
        <w:rPr>
          <w:rFonts w:asciiTheme="minorHAnsi" w:hAnsiTheme="minorHAnsi"/>
          <w:sz w:val="22"/>
        </w:rPr>
        <w:t xml:space="preserve"> provided by ROs. </w:t>
      </w:r>
      <w:r w:rsidR="00BE30DA" w:rsidRPr="005F2BD1">
        <w:rPr>
          <w:rFonts w:asciiTheme="minorHAnsi" w:hAnsiTheme="minorHAnsi"/>
          <w:sz w:val="22"/>
        </w:rPr>
        <w:t xml:space="preserve">The inventory </w:t>
      </w:r>
      <w:r w:rsidR="00FB3F38" w:rsidRPr="005F2BD1">
        <w:rPr>
          <w:rFonts w:asciiTheme="minorHAnsi" w:hAnsiTheme="minorHAnsi"/>
          <w:sz w:val="22"/>
        </w:rPr>
        <w:t xml:space="preserve">also </w:t>
      </w:r>
      <w:r w:rsidR="00BE30DA" w:rsidRPr="005F2BD1">
        <w:rPr>
          <w:rFonts w:asciiTheme="minorHAnsi" w:hAnsiTheme="minorHAnsi"/>
          <w:sz w:val="22"/>
        </w:rPr>
        <w:t>serve</w:t>
      </w:r>
      <w:r w:rsidR="00FB3F38" w:rsidRPr="005F2BD1">
        <w:rPr>
          <w:rFonts w:asciiTheme="minorHAnsi" w:hAnsiTheme="minorHAnsi"/>
          <w:sz w:val="22"/>
        </w:rPr>
        <w:t>s</w:t>
      </w:r>
      <w:r w:rsidR="00BE30DA" w:rsidRPr="005F2BD1">
        <w:rPr>
          <w:rFonts w:asciiTheme="minorHAnsi" w:hAnsiTheme="minorHAnsi"/>
          <w:sz w:val="22"/>
        </w:rPr>
        <w:t xml:space="preserve"> to </w:t>
      </w:r>
      <w:r w:rsidR="00FB3F38" w:rsidRPr="005F2BD1">
        <w:rPr>
          <w:rFonts w:asciiTheme="minorHAnsi" w:hAnsiTheme="minorHAnsi"/>
          <w:b/>
          <w:bCs/>
          <w:sz w:val="22"/>
        </w:rPr>
        <w:t xml:space="preserve">inspire </w:t>
      </w:r>
      <w:r w:rsidR="00F82607" w:rsidRPr="005F2BD1">
        <w:rPr>
          <w:rFonts w:asciiTheme="minorHAnsi" w:hAnsiTheme="minorHAnsi"/>
          <w:b/>
          <w:bCs/>
          <w:sz w:val="22"/>
        </w:rPr>
        <w:t>and mobilise resources for</w:t>
      </w:r>
      <w:r w:rsidR="00FB3F38" w:rsidRPr="005F2BD1">
        <w:rPr>
          <w:rFonts w:asciiTheme="minorHAnsi" w:hAnsiTheme="minorHAnsi"/>
          <w:b/>
          <w:bCs/>
          <w:sz w:val="22"/>
        </w:rPr>
        <w:t xml:space="preserve"> future in-depth country analyse</w:t>
      </w:r>
      <w:r w:rsidR="00BE30DA" w:rsidRPr="005F2BD1">
        <w:rPr>
          <w:rFonts w:asciiTheme="minorHAnsi" w:hAnsiTheme="minorHAnsi"/>
          <w:b/>
          <w:bCs/>
          <w:sz w:val="22"/>
        </w:rPr>
        <w:t>s</w:t>
      </w:r>
      <w:r w:rsidR="00FB3F38" w:rsidRPr="005F2BD1">
        <w:rPr>
          <w:rFonts w:asciiTheme="minorHAnsi" w:hAnsiTheme="minorHAnsi"/>
          <w:sz w:val="22"/>
        </w:rPr>
        <w:t>.</w:t>
      </w:r>
      <w:r w:rsidR="007A2593" w:rsidRPr="005F2BD1">
        <w:rPr>
          <w:rFonts w:asciiTheme="minorHAnsi" w:hAnsiTheme="minorHAnsi"/>
          <w:sz w:val="22"/>
        </w:rPr>
        <w:t xml:space="preserve"> These</w:t>
      </w:r>
      <w:r w:rsidR="00BC368E" w:rsidRPr="005F2BD1">
        <w:rPr>
          <w:rFonts w:asciiTheme="minorHAnsi" w:hAnsiTheme="minorHAnsi"/>
          <w:sz w:val="22"/>
        </w:rPr>
        <w:t xml:space="preserve"> analyses are </w:t>
      </w:r>
      <w:r w:rsidR="007A2593" w:rsidRPr="005F2BD1">
        <w:rPr>
          <w:rFonts w:asciiTheme="minorHAnsi" w:hAnsiTheme="minorHAnsi"/>
          <w:sz w:val="22"/>
        </w:rPr>
        <w:t>indispensable</w:t>
      </w:r>
      <w:r w:rsidR="00BC368E" w:rsidRPr="005F2BD1">
        <w:rPr>
          <w:rFonts w:asciiTheme="minorHAnsi" w:hAnsiTheme="minorHAnsi"/>
          <w:sz w:val="22"/>
        </w:rPr>
        <w:t xml:space="preserve"> to derive relevant evidence and guiding principles </w:t>
      </w:r>
      <w:r w:rsidR="007A2593" w:rsidRPr="005F2BD1">
        <w:rPr>
          <w:rFonts w:asciiTheme="minorHAnsi" w:hAnsiTheme="minorHAnsi"/>
          <w:sz w:val="22"/>
        </w:rPr>
        <w:t>on local institutional set-ups upon which effective SP systems can be built</w:t>
      </w:r>
      <w:r w:rsidR="00BC368E" w:rsidRPr="005F2BD1">
        <w:rPr>
          <w:rFonts w:asciiTheme="minorHAnsi" w:hAnsiTheme="minorHAnsi"/>
          <w:sz w:val="22"/>
        </w:rPr>
        <w:t xml:space="preserve">. </w:t>
      </w:r>
      <w:r w:rsidRPr="005F2BD1">
        <w:rPr>
          <w:rFonts w:asciiTheme="minorHAnsi" w:hAnsiTheme="minorHAnsi"/>
          <w:sz w:val="22"/>
        </w:rPr>
        <w:t xml:space="preserve">The inventory will feed into the debate over the </w:t>
      </w:r>
      <w:r w:rsidRPr="005F2BD1">
        <w:rPr>
          <w:rFonts w:asciiTheme="minorHAnsi" w:hAnsiTheme="minorHAnsi"/>
          <w:b/>
          <w:sz w:val="22"/>
        </w:rPr>
        <w:t>promotion of a higher involvement of relevant stakeholders</w:t>
      </w:r>
      <w:r w:rsidR="007A2593" w:rsidRPr="005F2BD1">
        <w:rPr>
          <w:rFonts w:asciiTheme="minorHAnsi" w:hAnsiTheme="minorHAnsi"/>
          <w:b/>
          <w:sz w:val="22"/>
        </w:rPr>
        <w:t>,</w:t>
      </w:r>
      <w:r w:rsidRPr="005F2BD1">
        <w:rPr>
          <w:rFonts w:asciiTheme="minorHAnsi" w:hAnsiTheme="minorHAnsi"/>
          <w:sz w:val="22"/>
        </w:rPr>
        <w:t xml:space="preserve"> </w:t>
      </w:r>
      <w:r w:rsidR="007A2593" w:rsidRPr="005F2BD1">
        <w:rPr>
          <w:rFonts w:asciiTheme="minorHAnsi" w:hAnsiTheme="minorHAnsi"/>
          <w:sz w:val="22"/>
        </w:rPr>
        <w:t>as suggested by ILO</w:t>
      </w:r>
      <w:r w:rsidRPr="005F2BD1">
        <w:rPr>
          <w:rFonts w:asciiTheme="minorHAnsi" w:hAnsiTheme="minorHAnsi"/>
          <w:sz w:val="22"/>
        </w:rPr>
        <w:t>. In particular, this should encourage policymakers to better define the roles for ROs in SP policies, laws and programs.</w:t>
      </w:r>
    </w:p>
    <w:p w14:paraId="4CE2072E" w14:textId="77777777" w:rsidR="009D77A8" w:rsidRPr="005F2BD1" w:rsidRDefault="009D77A8" w:rsidP="00BC368E">
      <w:pPr>
        <w:spacing w:after="60"/>
        <w:jc w:val="both"/>
        <w:rPr>
          <w:rFonts w:asciiTheme="minorHAnsi" w:hAnsiTheme="minorHAnsi"/>
          <w:sz w:val="22"/>
        </w:rPr>
      </w:pPr>
      <w:r w:rsidRPr="005F2BD1">
        <w:rPr>
          <w:rFonts w:asciiTheme="minorHAnsi" w:hAnsiTheme="minorHAnsi"/>
          <w:sz w:val="22"/>
        </w:rPr>
        <w:t xml:space="preserve">AUDIENCE – The inventory is for easy access and use </w:t>
      </w:r>
      <w:r w:rsidR="00920DF6" w:rsidRPr="005F2BD1">
        <w:rPr>
          <w:rFonts w:asciiTheme="minorHAnsi" w:hAnsiTheme="minorHAnsi"/>
          <w:sz w:val="22"/>
        </w:rPr>
        <w:t>by</w:t>
      </w:r>
      <w:r w:rsidRPr="005F2BD1">
        <w:rPr>
          <w:rFonts w:asciiTheme="minorHAnsi" w:hAnsiTheme="minorHAnsi"/>
          <w:sz w:val="22"/>
        </w:rPr>
        <w:t xml:space="preserve"> </w:t>
      </w:r>
      <w:r w:rsidRPr="005F2BD1">
        <w:rPr>
          <w:rFonts w:asciiTheme="minorHAnsi" w:hAnsiTheme="minorHAnsi"/>
          <w:b/>
          <w:sz w:val="22"/>
        </w:rPr>
        <w:t>decision-makers</w:t>
      </w:r>
      <w:r w:rsidRPr="005F2BD1">
        <w:rPr>
          <w:rFonts w:asciiTheme="minorHAnsi" w:hAnsiTheme="minorHAnsi"/>
          <w:sz w:val="22"/>
        </w:rPr>
        <w:t xml:space="preserve">, </w:t>
      </w:r>
      <w:r w:rsidRPr="005F2BD1">
        <w:rPr>
          <w:rFonts w:asciiTheme="minorHAnsi" w:hAnsiTheme="minorHAnsi"/>
          <w:b/>
          <w:sz w:val="22"/>
        </w:rPr>
        <w:t>practitioners</w:t>
      </w:r>
      <w:r w:rsidR="00920DF6" w:rsidRPr="005F2BD1">
        <w:rPr>
          <w:rFonts w:asciiTheme="minorHAnsi" w:hAnsiTheme="minorHAnsi"/>
          <w:b/>
          <w:sz w:val="22"/>
        </w:rPr>
        <w:t>, evaluators</w:t>
      </w:r>
      <w:r w:rsidRPr="005F2BD1">
        <w:rPr>
          <w:rFonts w:asciiTheme="minorHAnsi" w:hAnsiTheme="minorHAnsi"/>
          <w:sz w:val="22"/>
        </w:rPr>
        <w:t xml:space="preserve"> and </w:t>
      </w:r>
      <w:r w:rsidRPr="005F2BD1">
        <w:rPr>
          <w:rFonts w:asciiTheme="minorHAnsi" w:hAnsiTheme="minorHAnsi"/>
          <w:b/>
          <w:sz w:val="22"/>
        </w:rPr>
        <w:t>donors</w:t>
      </w:r>
      <w:r w:rsidRPr="005F2BD1">
        <w:rPr>
          <w:rFonts w:asciiTheme="minorHAnsi" w:hAnsiTheme="minorHAnsi"/>
          <w:sz w:val="22"/>
        </w:rPr>
        <w:t>. They will be able to</w:t>
      </w:r>
      <w:r w:rsidRPr="005F2BD1">
        <w:rPr>
          <w:rFonts w:asciiTheme="minorHAnsi" w:hAnsiTheme="minorHAnsi"/>
          <w:b/>
          <w:bCs/>
          <w:sz w:val="22"/>
        </w:rPr>
        <w:t xml:space="preserve"> </w:t>
      </w:r>
      <w:r w:rsidRPr="005F2BD1">
        <w:rPr>
          <w:rFonts w:asciiTheme="minorHAnsi" w:hAnsiTheme="minorHAnsi"/>
          <w:bCs/>
          <w:sz w:val="22"/>
        </w:rPr>
        <w:t>consult the inventory</w:t>
      </w:r>
      <w:r w:rsidRPr="005F2BD1">
        <w:rPr>
          <w:rFonts w:asciiTheme="minorHAnsi" w:hAnsiTheme="minorHAnsi"/>
          <w:b/>
          <w:bCs/>
          <w:sz w:val="22"/>
        </w:rPr>
        <w:t xml:space="preserve"> </w:t>
      </w:r>
      <w:r w:rsidRPr="005F2BD1">
        <w:rPr>
          <w:rFonts w:asciiTheme="minorHAnsi" w:hAnsiTheme="minorHAnsi"/>
          <w:sz w:val="22"/>
        </w:rPr>
        <w:t>to strengthen and replicate good practices</w:t>
      </w:r>
      <w:proofErr w:type="gramStart"/>
      <w:r w:rsidRPr="005F2BD1">
        <w:rPr>
          <w:rFonts w:asciiTheme="minorHAnsi" w:hAnsiTheme="minorHAnsi"/>
          <w:sz w:val="22"/>
        </w:rPr>
        <w:t>,  design</w:t>
      </w:r>
      <w:proofErr w:type="gramEnd"/>
      <w:r w:rsidRPr="005F2BD1">
        <w:rPr>
          <w:rFonts w:asciiTheme="minorHAnsi" w:hAnsiTheme="minorHAnsi"/>
          <w:sz w:val="22"/>
        </w:rPr>
        <w:t xml:space="preserve"> inclusive institutional arrangements for SP policies and programs that leverage on the comparative advantages of ROs</w:t>
      </w:r>
      <w:r w:rsidR="00920DF6" w:rsidRPr="005F2BD1">
        <w:rPr>
          <w:rFonts w:asciiTheme="minorHAnsi" w:hAnsiTheme="minorHAnsi"/>
          <w:sz w:val="22"/>
        </w:rPr>
        <w:t>, and evaluate RO’s involvement and performance in SP programmes which have emphasized their inclusion</w:t>
      </w:r>
      <w:r w:rsidRPr="005F2BD1">
        <w:rPr>
          <w:rFonts w:asciiTheme="minorHAnsi" w:hAnsiTheme="minorHAnsi"/>
          <w:sz w:val="22"/>
        </w:rPr>
        <w:t>.</w:t>
      </w:r>
    </w:p>
    <w:p w14:paraId="163A47D4" w14:textId="77777777" w:rsidR="008F0B1B" w:rsidRPr="005F2BD1" w:rsidRDefault="008F0B1B" w:rsidP="00520892">
      <w:pPr>
        <w:spacing w:after="60"/>
        <w:jc w:val="both"/>
        <w:rPr>
          <w:rFonts w:asciiTheme="minorHAnsi" w:hAnsiTheme="minorHAnsi"/>
          <w:sz w:val="22"/>
        </w:rPr>
      </w:pPr>
      <w:r w:rsidRPr="005F2BD1">
        <w:rPr>
          <w:rFonts w:asciiTheme="minorHAnsi" w:hAnsiTheme="minorHAnsi"/>
          <w:b/>
          <w:bCs/>
          <w:i/>
          <w:iCs/>
          <w:color w:val="244061" w:themeColor="accent1" w:themeShade="80"/>
          <w:sz w:val="22"/>
        </w:rPr>
        <w:t>Why you should apply - Deliverables of the inventory</w:t>
      </w:r>
      <w:r w:rsidR="009D77A8" w:rsidRPr="005F2BD1">
        <w:rPr>
          <w:rFonts w:asciiTheme="minorHAnsi" w:hAnsiTheme="minorHAnsi"/>
          <w:sz w:val="22"/>
        </w:rPr>
        <w:t xml:space="preserve"> </w:t>
      </w:r>
    </w:p>
    <w:p w14:paraId="54E25ADE" w14:textId="31D85B10" w:rsidR="009D77A8" w:rsidRPr="005F2BD1" w:rsidRDefault="00127929" w:rsidP="00EA17A7">
      <w:pPr>
        <w:spacing w:after="60"/>
        <w:jc w:val="both"/>
        <w:rPr>
          <w:rFonts w:asciiTheme="minorHAnsi" w:hAnsiTheme="minorHAnsi"/>
          <w:sz w:val="22"/>
        </w:rPr>
      </w:pPr>
      <w:r w:rsidRPr="005F2BD1">
        <w:rPr>
          <w:rFonts w:asciiTheme="minorHAnsi" w:hAnsiTheme="minorHAnsi"/>
          <w:sz w:val="22"/>
        </w:rPr>
        <w:t xml:space="preserve">The inventory will be published in two formats. </w:t>
      </w:r>
      <w:r w:rsidR="009D77A8" w:rsidRPr="005F2BD1">
        <w:rPr>
          <w:rFonts w:asciiTheme="minorHAnsi" w:hAnsiTheme="minorHAnsi"/>
          <w:sz w:val="22"/>
        </w:rPr>
        <w:t>P</w:t>
      </w:r>
      <w:r w:rsidR="00A948B6" w:rsidRPr="005F2BD1">
        <w:rPr>
          <w:rFonts w:asciiTheme="minorHAnsi" w:hAnsiTheme="minorHAnsi"/>
          <w:sz w:val="22"/>
        </w:rPr>
        <w:t xml:space="preserve">ractices will be </w:t>
      </w:r>
      <w:r w:rsidR="009D77A8" w:rsidRPr="005F2BD1">
        <w:rPr>
          <w:rFonts w:asciiTheme="minorHAnsi" w:hAnsiTheme="minorHAnsi"/>
          <w:sz w:val="22"/>
        </w:rPr>
        <w:t>documented</w:t>
      </w:r>
      <w:r w:rsidR="00A948B6" w:rsidRPr="005F2BD1">
        <w:rPr>
          <w:rFonts w:asciiTheme="minorHAnsi" w:hAnsiTheme="minorHAnsi"/>
          <w:sz w:val="22"/>
        </w:rPr>
        <w:t xml:space="preserve"> in several </w:t>
      </w:r>
      <w:r w:rsidR="00A948B6" w:rsidRPr="005F2BD1">
        <w:rPr>
          <w:rFonts w:asciiTheme="minorHAnsi" w:hAnsiTheme="minorHAnsi"/>
          <w:b/>
          <w:bCs/>
          <w:sz w:val="22"/>
        </w:rPr>
        <w:t>information sheets</w:t>
      </w:r>
      <w:r w:rsidR="00A948B6" w:rsidRPr="005F2BD1">
        <w:rPr>
          <w:rFonts w:asciiTheme="minorHAnsi" w:hAnsiTheme="minorHAnsi"/>
          <w:sz w:val="22"/>
        </w:rPr>
        <w:t xml:space="preserve"> published on line </w:t>
      </w:r>
      <w:r w:rsidR="00AA0FC8" w:rsidRPr="005F2BD1">
        <w:rPr>
          <w:rFonts w:asciiTheme="minorHAnsi" w:hAnsiTheme="minorHAnsi"/>
          <w:sz w:val="22"/>
        </w:rPr>
        <w:t xml:space="preserve">(in the form of </w:t>
      </w:r>
      <w:r w:rsidR="00BC368E" w:rsidRPr="005F2BD1">
        <w:rPr>
          <w:rFonts w:asciiTheme="minorHAnsi" w:hAnsiTheme="minorHAnsi"/>
          <w:sz w:val="22"/>
        </w:rPr>
        <w:t xml:space="preserve">short </w:t>
      </w:r>
      <w:r w:rsidR="00FA18A6" w:rsidRPr="005F2BD1">
        <w:rPr>
          <w:rFonts w:asciiTheme="minorHAnsi" w:hAnsiTheme="minorHAnsi"/>
          <w:sz w:val="22"/>
        </w:rPr>
        <w:t>case studies</w:t>
      </w:r>
      <w:r w:rsidR="00AA0FC8" w:rsidRPr="005F2BD1">
        <w:rPr>
          <w:rFonts w:asciiTheme="minorHAnsi" w:hAnsiTheme="minorHAnsi"/>
          <w:sz w:val="22"/>
        </w:rPr>
        <w:t xml:space="preserve">) </w:t>
      </w:r>
      <w:r w:rsidR="00A948B6" w:rsidRPr="005F2BD1">
        <w:rPr>
          <w:rFonts w:asciiTheme="minorHAnsi" w:hAnsiTheme="minorHAnsi"/>
          <w:sz w:val="22"/>
        </w:rPr>
        <w:t>contain</w:t>
      </w:r>
      <w:r w:rsidR="009F63F1" w:rsidRPr="005F2BD1">
        <w:rPr>
          <w:rFonts w:asciiTheme="minorHAnsi" w:hAnsiTheme="minorHAnsi"/>
          <w:sz w:val="22"/>
        </w:rPr>
        <w:t>ing</w:t>
      </w:r>
      <w:r w:rsidR="00A948B6" w:rsidRPr="005F2BD1">
        <w:rPr>
          <w:rFonts w:asciiTheme="minorHAnsi" w:hAnsiTheme="minorHAnsi"/>
          <w:sz w:val="22"/>
        </w:rPr>
        <w:t xml:space="preserve"> technical information </w:t>
      </w:r>
      <w:r w:rsidR="0081451B" w:rsidRPr="005F2BD1">
        <w:rPr>
          <w:rFonts w:asciiTheme="minorHAnsi" w:hAnsiTheme="minorHAnsi"/>
          <w:sz w:val="22"/>
        </w:rPr>
        <w:t xml:space="preserve">for </w:t>
      </w:r>
      <w:r w:rsidR="00AA0FC8" w:rsidRPr="005F2BD1">
        <w:rPr>
          <w:rFonts w:asciiTheme="minorHAnsi" w:hAnsiTheme="minorHAnsi"/>
          <w:sz w:val="22"/>
        </w:rPr>
        <w:t xml:space="preserve">FAO’s </w:t>
      </w:r>
      <w:r w:rsidR="00BC368E" w:rsidRPr="005F2BD1">
        <w:rPr>
          <w:rFonts w:asciiTheme="minorHAnsi" w:hAnsiTheme="minorHAnsi"/>
          <w:sz w:val="22"/>
        </w:rPr>
        <w:t xml:space="preserve">and other practitioners’ learning and </w:t>
      </w:r>
      <w:r w:rsidR="00FA18A6" w:rsidRPr="005F2BD1">
        <w:rPr>
          <w:rFonts w:asciiTheme="minorHAnsi" w:hAnsiTheme="minorHAnsi"/>
          <w:sz w:val="22"/>
        </w:rPr>
        <w:t xml:space="preserve">possible </w:t>
      </w:r>
      <w:r w:rsidR="00BC368E" w:rsidRPr="005F2BD1">
        <w:rPr>
          <w:rFonts w:asciiTheme="minorHAnsi" w:hAnsiTheme="minorHAnsi"/>
          <w:sz w:val="22"/>
        </w:rPr>
        <w:t xml:space="preserve">replication. </w:t>
      </w:r>
      <w:r w:rsidR="005F4F7D" w:rsidRPr="005F2BD1">
        <w:rPr>
          <w:rFonts w:asciiTheme="minorHAnsi" w:hAnsiTheme="minorHAnsi"/>
          <w:sz w:val="22"/>
        </w:rPr>
        <w:t xml:space="preserve">Good practices will also be </w:t>
      </w:r>
      <w:r w:rsidR="00EA17A7">
        <w:rPr>
          <w:rFonts w:asciiTheme="minorHAnsi" w:hAnsiTheme="minorHAnsi"/>
          <w:sz w:val="22"/>
        </w:rPr>
        <w:t>analysed</w:t>
      </w:r>
      <w:r w:rsidR="00EA17A7" w:rsidRPr="005F2BD1">
        <w:rPr>
          <w:rFonts w:asciiTheme="minorHAnsi" w:hAnsiTheme="minorHAnsi"/>
          <w:sz w:val="22"/>
        </w:rPr>
        <w:t xml:space="preserve"> </w:t>
      </w:r>
      <w:r w:rsidR="00EA17A7">
        <w:rPr>
          <w:rFonts w:asciiTheme="minorHAnsi" w:hAnsiTheme="minorHAnsi"/>
          <w:sz w:val="22"/>
        </w:rPr>
        <w:t>and synthesised</w:t>
      </w:r>
      <w:r w:rsidR="00EA17A7" w:rsidRPr="005F2BD1">
        <w:rPr>
          <w:rFonts w:asciiTheme="minorHAnsi" w:hAnsiTheme="minorHAnsi"/>
          <w:sz w:val="22"/>
        </w:rPr>
        <w:t xml:space="preserve"> </w:t>
      </w:r>
      <w:r w:rsidR="00BC368E" w:rsidRPr="005F2BD1">
        <w:rPr>
          <w:rFonts w:asciiTheme="minorHAnsi" w:hAnsiTheme="minorHAnsi"/>
          <w:sz w:val="22"/>
        </w:rPr>
        <w:t xml:space="preserve">a </w:t>
      </w:r>
      <w:r w:rsidR="00BC368E" w:rsidRPr="005F2BD1">
        <w:rPr>
          <w:rFonts w:asciiTheme="minorHAnsi" w:hAnsiTheme="minorHAnsi"/>
          <w:b/>
          <w:bCs/>
          <w:sz w:val="22"/>
        </w:rPr>
        <w:t>report</w:t>
      </w:r>
      <w:r w:rsidR="00BC368E" w:rsidRPr="005F2BD1">
        <w:rPr>
          <w:rFonts w:asciiTheme="minorHAnsi" w:hAnsiTheme="minorHAnsi"/>
          <w:sz w:val="22"/>
        </w:rPr>
        <w:t xml:space="preserve"> </w:t>
      </w:r>
      <w:r w:rsidR="009D77A8" w:rsidRPr="005F2BD1">
        <w:rPr>
          <w:rFonts w:asciiTheme="minorHAnsi" w:hAnsiTheme="minorHAnsi"/>
          <w:sz w:val="22"/>
        </w:rPr>
        <w:t>containing a broad</w:t>
      </w:r>
      <w:r w:rsidR="00BC368E" w:rsidRPr="005F2BD1">
        <w:rPr>
          <w:rFonts w:asciiTheme="minorHAnsi" w:hAnsiTheme="minorHAnsi"/>
          <w:sz w:val="22"/>
        </w:rPr>
        <w:t xml:space="preserve"> analysis of success factors, risks, </w:t>
      </w:r>
      <w:r w:rsidR="00FA18A6" w:rsidRPr="005F2BD1">
        <w:rPr>
          <w:rFonts w:asciiTheme="minorHAnsi" w:hAnsiTheme="minorHAnsi"/>
          <w:sz w:val="22"/>
        </w:rPr>
        <w:t xml:space="preserve">challenges </w:t>
      </w:r>
      <w:r w:rsidR="00BC368E" w:rsidRPr="005F2BD1">
        <w:rPr>
          <w:rFonts w:asciiTheme="minorHAnsi" w:hAnsiTheme="minorHAnsi"/>
          <w:sz w:val="22"/>
        </w:rPr>
        <w:t>and lessons learned</w:t>
      </w:r>
      <w:r w:rsidR="00520892" w:rsidRPr="005F2BD1">
        <w:rPr>
          <w:rFonts w:asciiTheme="minorHAnsi" w:hAnsiTheme="minorHAnsi"/>
          <w:sz w:val="22"/>
        </w:rPr>
        <w:t xml:space="preserve">. The report will also contain </w:t>
      </w:r>
      <w:r w:rsidR="00BC368E" w:rsidRPr="005F2BD1">
        <w:rPr>
          <w:rFonts w:asciiTheme="minorHAnsi" w:hAnsiTheme="minorHAnsi"/>
          <w:sz w:val="22"/>
        </w:rPr>
        <w:t xml:space="preserve">general </w:t>
      </w:r>
      <w:r w:rsidR="0081451B" w:rsidRPr="005F2BD1">
        <w:rPr>
          <w:rFonts w:asciiTheme="minorHAnsi" w:hAnsiTheme="minorHAnsi"/>
          <w:sz w:val="22"/>
        </w:rPr>
        <w:t>recommendations</w:t>
      </w:r>
      <w:r w:rsidR="00AA0FC8" w:rsidRPr="005F2BD1">
        <w:rPr>
          <w:rFonts w:asciiTheme="minorHAnsi" w:hAnsiTheme="minorHAnsi"/>
          <w:sz w:val="22"/>
        </w:rPr>
        <w:t xml:space="preserve"> for </w:t>
      </w:r>
      <w:r w:rsidR="00520892" w:rsidRPr="005F2BD1">
        <w:rPr>
          <w:rFonts w:asciiTheme="minorHAnsi" w:hAnsiTheme="minorHAnsi"/>
          <w:sz w:val="22"/>
        </w:rPr>
        <w:t xml:space="preserve">development practitioners, </w:t>
      </w:r>
      <w:r w:rsidR="00AA0FC8" w:rsidRPr="005F2BD1">
        <w:rPr>
          <w:rFonts w:asciiTheme="minorHAnsi" w:hAnsiTheme="minorHAnsi"/>
          <w:sz w:val="22"/>
        </w:rPr>
        <w:t>decision-makers</w:t>
      </w:r>
      <w:r w:rsidR="00FA18A6" w:rsidRPr="005F2BD1">
        <w:rPr>
          <w:rFonts w:asciiTheme="minorHAnsi" w:hAnsiTheme="minorHAnsi"/>
          <w:sz w:val="22"/>
        </w:rPr>
        <w:t>, evaluators</w:t>
      </w:r>
      <w:r w:rsidR="00AA0FC8" w:rsidRPr="005F2BD1">
        <w:rPr>
          <w:rFonts w:asciiTheme="minorHAnsi" w:hAnsiTheme="minorHAnsi"/>
          <w:sz w:val="22"/>
        </w:rPr>
        <w:t xml:space="preserve"> and donors</w:t>
      </w:r>
      <w:r w:rsidR="00520892" w:rsidRPr="005F2BD1">
        <w:rPr>
          <w:rFonts w:asciiTheme="minorHAnsi" w:hAnsiTheme="minorHAnsi"/>
          <w:sz w:val="22"/>
        </w:rPr>
        <w:t xml:space="preserve"> in view of the possible adaptation and replication of good practices.</w:t>
      </w:r>
    </w:p>
    <w:p w14:paraId="0AC4E219" w14:textId="542A4702" w:rsidR="00BC368E" w:rsidRPr="005F2BD1" w:rsidRDefault="00BC368E" w:rsidP="00AB515A">
      <w:pPr>
        <w:spacing w:after="60"/>
        <w:jc w:val="both"/>
        <w:rPr>
          <w:rFonts w:asciiTheme="minorHAnsi" w:hAnsiTheme="minorHAnsi"/>
          <w:sz w:val="22"/>
        </w:rPr>
      </w:pPr>
      <w:r w:rsidRPr="005F2BD1">
        <w:rPr>
          <w:rFonts w:asciiTheme="minorHAnsi" w:hAnsiTheme="minorHAnsi"/>
          <w:sz w:val="22"/>
        </w:rPr>
        <w:t xml:space="preserve">Applicants for the call have the opportunity to </w:t>
      </w:r>
      <w:r w:rsidR="00715FF8" w:rsidRPr="005F2BD1">
        <w:rPr>
          <w:rFonts w:asciiTheme="minorHAnsi" w:hAnsiTheme="minorHAnsi"/>
          <w:sz w:val="22"/>
        </w:rPr>
        <w:t>identify, document,</w:t>
      </w:r>
      <w:r w:rsidR="00520892" w:rsidRPr="005F2BD1">
        <w:rPr>
          <w:rFonts w:asciiTheme="minorHAnsi" w:hAnsiTheme="minorHAnsi"/>
          <w:sz w:val="22"/>
        </w:rPr>
        <w:t xml:space="preserve"> </w:t>
      </w:r>
      <w:r w:rsidR="007A2593" w:rsidRPr="005F2BD1">
        <w:rPr>
          <w:rFonts w:asciiTheme="minorHAnsi" w:hAnsiTheme="minorHAnsi"/>
          <w:sz w:val="22"/>
        </w:rPr>
        <w:t xml:space="preserve">analyse, </w:t>
      </w:r>
      <w:r w:rsidR="00520892" w:rsidRPr="005F2BD1">
        <w:rPr>
          <w:rFonts w:asciiTheme="minorHAnsi" w:hAnsiTheme="minorHAnsi"/>
          <w:sz w:val="22"/>
        </w:rPr>
        <w:t xml:space="preserve">and </w:t>
      </w:r>
      <w:r w:rsidRPr="005F2BD1">
        <w:rPr>
          <w:rFonts w:asciiTheme="minorHAnsi" w:hAnsiTheme="minorHAnsi"/>
          <w:sz w:val="22"/>
        </w:rPr>
        <w:t xml:space="preserve">showcase </w:t>
      </w:r>
      <w:r w:rsidR="00520892" w:rsidRPr="005F2BD1">
        <w:rPr>
          <w:rFonts w:asciiTheme="minorHAnsi" w:hAnsiTheme="minorHAnsi"/>
          <w:sz w:val="22"/>
        </w:rPr>
        <w:t>relevant</w:t>
      </w:r>
      <w:r w:rsidRPr="005F2BD1">
        <w:rPr>
          <w:rFonts w:asciiTheme="minorHAnsi" w:hAnsiTheme="minorHAnsi"/>
          <w:sz w:val="22"/>
        </w:rPr>
        <w:t xml:space="preserve"> experiences</w:t>
      </w:r>
      <w:r w:rsidR="00520892" w:rsidRPr="005F2BD1">
        <w:rPr>
          <w:rFonts w:asciiTheme="minorHAnsi" w:hAnsiTheme="minorHAnsi"/>
          <w:sz w:val="22"/>
        </w:rPr>
        <w:t xml:space="preserve"> contributing to b</w:t>
      </w:r>
      <w:r w:rsidR="009D77A8" w:rsidRPr="005F2BD1">
        <w:rPr>
          <w:rFonts w:asciiTheme="minorHAnsi" w:hAnsiTheme="minorHAnsi"/>
          <w:sz w:val="22"/>
        </w:rPr>
        <w:t xml:space="preserve">uilding </w:t>
      </w:r>
      <w:r w:rsidR="00FA18A6" w:rsidRPr="005F2BD1">
        <w:rPr>
          <w:rFonts w:asciiTheme="minorHAnsi" w:hAnsiTheme="minorHAnsi"/>
          <w:sz w:val="22"/>
        </w:rPr>
        <w:t xml:space="preserve">a </w:t>
      </w:r>
      <w:r w:rsidR="009D77A8" w:rsidRPr="005F2BD1">
        <w:rPr>
          <w:rFonts w:asciiTheme="minorHAnsi" w:hAnsiTheme="minorHAnsi"/>
          <w:sz w:val="22"/>
        </w:rPr>
        <w:t xml:space="preserve">knowledge </w:t>
      </w:r>
      <w:r w:rsidR="00520892" w:rsidRPr="005F2BD1">
        <w:rPr>
          <w:rFonts w:asciiTheme="minorHAnsi" w:hAnsiTheme="minorHAnsi"/>
          <w:sz w:val="22"/>
        </w:rPr>
        <w:t xml:space="preserve">base. The inventory will constitute the meeting point for applicants and other interested actors to share experiences and improve practices. It will facilitate the establishment of </w:t>
      </w:r>
      <w:r w:rsidR="00774064" w:rsidRPr="005F2BD1">
        <w:rPr>
          <w:rFonts w:asciiTheme="minorHAnsi" w:hAnsiTheme="minorHAnsi"/>
          <w:b/>
          <w:sz w:val="22"/>
        </w:rPr>
        <w:t>expert consultations</w:t>
      </w:r>
      <w:r w:rsidR="00774064" w:rsidRPr="005F2BD1">
        <w:rPr>
          <w:rFonts w:asciiTheme="minorHAnsi" w:hAnsiTheme="minorHAnsi"/>
          <w:sz w:val="22"/>
        </w:rPr>
        <w:t xml:space="preserve"> and </w:t>
      </w:r>
      <w:r w:rsidR="00520892" w:rsidRPr="005F2BD1">
        <w:rPr>
          <w:rFonts w:asciiTheme="minorHAnsi" w:hAnsiTheme="minorHAnsi"/>
          <w:sz w:val="22"/>
        </w:rPr>
        <w:t xml:space="preserve">an </w:t>
      </w:r>
      <w:r w:rsidR="00520892" w:rsidRPr="005F2BD1">
        <w:rPr>
          <w:rFonts w:asciiTheme="minorHAnsi" w:hAnsiTheme="minorHAnsi"/>
          <w:b/>
          <w:sz w:val="22"/>
        </w:rPr>
        <w:t>e-forum</w:t>
      </w:r>
      <w:r w:rsidR="00B6262E" w:rsidRPr="005F2BD1">
        <w:rPr>
          <w:rFonts w:asciiTheme="minorHAnsi" w:hAnsiTheme="minorHAnsi"/>
          <w:sz w:val="22"/>
        </w:rPr>
        <w:t xml:space="preserve"> that will be</w:t>
      </w:r>
      <w:r w:rsidR="00774064" w:rsidRPr="005F2BD1">
        <w:rPr>
          <w:rFonts w:asciiTheme="minorHAnsi" w:hAnsiTheme="minorHAnsi"/>
          <w:sz w:val="22"/>
        </w:rPr>
        <w:t xml:space="preserve"> linked to FAO’s technical network on Social Protection.</w:t>
      </w:r>
      <w:r w:rsidR="00520892" w:rsidRPr="005F2BD1">
        <w:rPr>
          <w:rFonts w:asciiTheme="minorHAnsi" w:hAnsiTheme="minorHAnsi"/>
          <w:sz w:val="22"/>
        </w:rPr>
        <w:t xml:space="preserve">   </w:t>
      </w:r>
    </w:p>
    <w:p w14:paraId="3E229EB1" w14:textId="77777777" w:rsidR="00271832" w:rsidRPr="005F2BD1" w:rsidRDefault="00271832" w:rsidP="00DD1162">
      <w:pPr>
        <w:spacing w:after="60"/>
        <w:jc w:val="both"/>
        <w:rPr>
          <w:rFonts w:asciiTheme="minorHAnsi" w:hAnsiTheme="minorHAnsi"/>
          <w:b/>
          <w:bCs/>
          <w:i/>
          <w:iCs/>
          <w:color w:val="244061" w:themeColor="accent1" w:themeShade="80"/>
          <w:sz w:val="22"/>
        </w:rPr>
      </w:pPr>
      <w:r w:rsidRPr="005F2BD1">
        <w:rPr>
          <w:rFonts w:asciiTheme="minorHAnsi" w:hAnsiTheme="minorHAnsi"/>
          <w:b/>
          <w:bCs/>
          <w:i/>
          <w:iCs/>
          <w:color w:val="244061" w:themeColor="accent1" w:themeShade="80"/>
          <w:sz w:val="22"/>
        </w:rPr>
        <w:t>Methodology</w:t>
      </w:r>
    </w:p>
    <w:p w14:paraId="512EBC53" w14:textId="2A77E78C" w:rsidR="00376315" w:rsidRPr="005F2BD1" w:rsidRDefault="00376315" w:rsidP="00EA17A7">
      <w:pPr>
        <w:spacing w:after="60"/>
        <w:jc w:val="both"/>
        <w:rPr>
          <w:rFonts w:asciiTheme="minorHAnsi" w:hAnsiTheme="minorHAnsi"/>
          <w:sz w:val="22"/>
        </w:rPr>
      </w:pPr>
      <w:r w:rsidRPr="005F2BD1">
        <w:rPr>
          <w:rFonts w:asciiTheme="minorHAnsi" w:hAnsiTheme="minorHAnsi"/>
          <w:iCs/>
          <w:sz w:val="22"/>
        </w:rPr>
        <w:t>This</w:t>
      </w:r>
      <w:r w:rsidR="00D327F6" w:rsidRPr="005F2BD1">
        <w:rPr>
          <w:rFonts w:asciiTheme="minorHAnsi" w:hAnsiTheme="minorHAnsi"/>
          <w:iCs/>
          <w:sz w:val="22"/>
        </w:rPr>
        <w:t xml:space="preserve"> call for proposals </w:t>
      </w:r>
      <w:r w:rsidR="00EA17A7">
        <w:rPr>
          <w:rFonts w:asciiTheme="minorHAnsi" w:hAnsiTheme="minorHAnsi"/>
          <w:iCs/>
          <w:sz w:val="22"/>
        </w:rPr>
        <w:t>is issued for</w:t>
      </w:r>
      <w:r w:rsidR="00D327F6" w:rsidRPr="005F2BD1">
        <w:rPr>
          <w:rFonts w:asciiTheme="minorHAnsi" w:hAnsiTheme="minorHAnsi"/>
          <w:iCs/>
          <w:sz w:val="22"/>
        </w:rPr>
        <w:t xml:space="preserve"> FAO’s technical units, decentralised offices and other relevant partners. It contains </w:t>
      </w:r>
      <w:r w:rsidR="00D327F6" w:rsidRPr="005F2BD1">
        <w:rPr>
          <w:rFonts w:asciiTheme="minorHAnsi" w:hAnsiTheme="minorHAnsi"/>
          <w:sz w:val="22"/>
        </w:rPr>
        <w:t>two annexes to guide applicants in documenting their practice. ANNEX A refers to participatory mechanisms in</w:t>
      </w:r>
      <w:r w:rsidR="00822FCC" w:rsidRPr="005F2BD1">
        <w:rPr>
          <w:rFonts w:asciiTheme="minorHAnsi" w:hAnsiTheme="minorHAnsi"/>
          <w:sz w:val="22"/>
        </w:rPr>
        <w:t xml:space="preserve"> SP systems; ANNEX B refers to </w:t>
      </w:r>
      <w:r w:rsidR="00D327F6" w:rsidRPr="005F2BD1">
        <w:rPr>
          <w:rFonts w:asciiTheme="minorHAnsi" w:hAnsiTheme="minorHAnsi"/>
          <w:sz w:val="22"/>
        </w:rPr>
        <w:t xml:space="preserve">collective practices of </w:t>
      </w:r>
      <w:r w:rsidR="00A5203A">
        <w:rPr>
          <w:rFonts w:asciiTheme="minorHAnsi" w:hAnsiTheme="minorHAnsi"/>
          <w:sz w:val="22"/>
        </w:rPr>
        <w:t xml:space="preserve">risk </w:t>
      </w:r>
      <w:proofErr w:type="gramStart"/>
      <w:r w:rsidR="00A5203A">
        <w:rPr>
          <w:rFonts w:asciiTheme="minorHAnsi" w:hAnsiTheme="minorHAnsi"/>
          <w:sz w:val="22"/>
        </w:rPr>
        <w:t>management</w:t>
      </w:r>
      <w:proofErr w:type="gramEnd"/>
      <w:r w:rsidR="00D327F6" w:rsidRPr="005F2BD1">
        <w:rPr>
          <w:rStyle w:val="FootnoteReference"/>
          <w:rFonts w:asciiTheme="minorHAnsi" w:hAnsiTheme="minorHAnsi"/>
          <w:sz w:val="22"/>
        </w:rPr>
        <w:t xml:space="preserve"> </w:t>
      </w:r>
      <w:r w:rsidR="00236B3A" w:rsidRPr="005F2BD1">
        <w:rPr>
          <w:rFonts w:asciiTheme="minorHAnsi" w:hAnsiTheme="minorHAnsi"/>
          <w:sz w:val="22"/>
        </w:rPr>
        <w:t>(please see at the end of this document)</w:t>
      </w:r>
      <w:r w:rsidR="00D327F6" w:rsidRPr="005F2BD1">
        <w:rPr>
          <w:rStyle w:val="FootnoteReference"/>
          <w:rFonts w:asciiTheme="minorHAnsi" w:hAnsiTheme="minorHAnsi"/>
          <w:sz w:val="22"/>
        </w:rPr>
        <w:footnoteReference w:id="7"/>
      </w:r>
      <w:r w:rsidR="00D327F6" w:rsidRPr="005F2BD1">
        <w:rPr>
          <w:rFonts w:asciiTheme="minorHAnsi" w:hAnsiTheme="minorHAnsi"/>
          <w:sz w:val="22"/>
        </w:rPr>
        <w:t>.</w:t>
      </w:r>
      <w:r w:rsidR="00236B3A" w:rsidRPr="005F2BD1">
        <w:rPr>
          <w:rFonts w:asciiTheme="minorHAnsi" w:hAnsiTheme="minorHAnsi"/>
          <w:sz w:val="22"/>
        </w:rPr>
        <w:t xml:space="preserve"> This phase will be followed by the selection, analysis and editing of the practices, and a process of validation with </w:t>
      </w:r>
      <w:r w:rsidR="00C13B4B" w:rsidRPr="005F2BD1">
        <w:rPr>
          <w:rFonts w:asciiTheme="minorHAnsi" w:hAnsiTheme="minorHAnsi"/>
          <w:sz w:val="22"/>
        </w:rPr>
        <w:t>participants</w:t>
      </w:r>
      <w:r w:rsidR="00EA17A7">
        <w:rPr>
          <w:rFonts w:asciiTheme="minorHAnsi" w:hAnsiTheme="minorHAnsi"/>
          <w:sz w:val="22"/>
        </w:rPr>
        <w:t>, followed by an open e-forum consultation with external experts and practitioners</w:t>
      </w:r>
      <w:r w:rsidR="00236B3A" w:rsidRPr="005F2BD1">
        <w:rPr>
          <w:rFonts w:asciiTheme="minorHAnsi" w:hAnsiTheme="minorHAnsi"/>
          <w:sz w:val="22"/>
        </w:rPr>
        <w:t xml:space="preserve">. </w:t>
      </w:r>
    </w:p>
    <w:p w14:paraId="36AA8377" w14:textId="2DA72701" w:rsidR="00822FCC" w:rsidRDefault="00EA17A7" w:rsidP="00271832">
      <w:pPr>
        <w:spacing w:after="60"/>
        <w:jc w:val="both"/>
        <w:rPr>
          <w:rFonts w:asciiTheme="minorHAnsi" w:hAnsiTheme="minorHAnsi"/>
          <w:sz w:val="22"/>
        </w:rPr>
      </w:pPr>
      <w:r>
        <w:rPr>
          <w:rFonts w:asciiTheme="minorHAnsi" w:hAnsiTheme="minorHAnsi"/>
          <w:sz w:val="22"/>
        </w:rPr>
        <w:lastRenderedPageBreak/>
        <w:t>Please r</w:t>
      </w:r>
      <w:r w:rsidR="00822FCC" w:rsidRPr="005F2BD1">
        <w:rPr>
          <w:rFonts w:asciiTheme="minorHAnsi" w:hAnsiTheme="minorHAnsi"/>
          <w:sz w:val="22"/>
        </w:rPr>
        <w:t>efer to the following criteria to make sure that your practice is relevant for this study.</w:t>
      </w:r>
    </w:p>
    <w:p w14:paraId="5D75644D" w14:textId="77777777" w:rsidR="00EA17A7" w:rsidRPr="005F2BD1" w:rsidRDefault="00EA17A7" w:rsidP="00271832">
      <w:pPr>
        <w:spacing w:after="60"/>
        <w:jc w:val="both"/>
        <w:rPr>
          <w:rFonts w:asciiTheme="minorHAnsi" w:hAnsiTheme="minorHAnsi"/>
          <w:b/>
          <w:bCs/>
          <w:i/>
          <w:iCs/>
          <w:color w:val="244061" w:themeColor="accent1" w:themeShade="80"/>
          <w:sz w:val="22"/>
        </w:rPr>
      </w:pPr>
    </w:p>
    <w:p w14:paraId="46822FBE" w14:textId="09AF0E44" w:rsidR="00AC70CE" w:rsidRPr="005F2BD1" w:rsidRDefault="00E17DF0" w:rsidP="00822FCC">
      <w:pPr>
        <w:spacing w:after="60"/>
        <w:jc w:val="center"/>
        <w:rPr>
          <w:rFonts w:asciiTheme="minorHAnsi" w:hAnsiTheme="minorHAnsi"/>
          <w:i/>
          <w:iCs/>
          <w:sz w:val="22"/>
          <w:u w:val="single"/>
        </w:rPr>
      </w:pPr>
      <w:r w:rsidRPr="005F2BD1">
        <w:rPr>
          <w:rFonts w:asciiTheme="minorHAnsi" w:hAnsiTheme="minorHAnsi"/>
          <w:i/>
          <w:iCs/>
          <w:sz w:val="22"/>
          <w:u w:val="single"/>
        </w:rPr>
        <w:t>C</w:t>
      </w:r>
      <w:r w:rsidR="00AC70CE" w:rsidRPr="005F2BD1">
        <w:rPr>
          <w:rFonts w:asciiTheme="minorHAnsi" w:hAnsiTheme="minorHAnsi"/>
          <w:i/>
          <w:iCs/>
          <w:sz w:val="22"/>
          <w:u w:val="single"/>
        </w:rPr>
        <w:t xml:space="preserve">riteria for selecting </w:t>
      </w:r>
      <w:r w:rsidR="00A91BD3">
        <w:rPr>
          <w:rFonts w:asciiTheme="minorHAnsi" w:hAnsiTheme="minorHAnsi"/>
          <w:i/>
          <w:iCs/>
          <w:sz w:val="22"/>
          <w:u w:val="single"/>
        </w:rPr>
        <w:t>relevant</w:t>
      </w:r>
      <w:r w:rsidR="002875C4" w:rsidRPr="005F2BD1">
        <w:rPr>
          <w:rFonts w:asciiTheme="minorHAnsi" w:hAnsiTheme="minorHAnsi"/>
          <w:i/>
          <w:iCs/>
          <w:sz w:val="22"/>
          <w:u w:val="single"/>
        </w:rPr>
        <w:t xml:space="preserve"> </w:t>
      </w:r>
      <w:r w:rsidR="00A91BD3">
        <w:rPr>
          <w:rFonts w:asciiTheme="minorHAnsi" w:hAnsiTheme="minorHAnsi"/>
          <w:i/>
          <w:iCs/>
          <w:sz w:val="22"/>
          <w:u w:val="single"/>
        </w:rPr>
        <w:t>organisations</w:t>
      </w:r>
      <w:r w:rsidR="00AC70CE" w:rsidRPr="005F2BD1">
        <w:rPr>
          <w:rFonts w:asciiTheme="minorHAnsi" w:hAnsiTheme="minorHAnsi"/>
          <w:i/>
          <w:iCs/>
          <w:sz w:val="22"/>
          <w:u w:val="single"/>
        </w:rPr>
        <w:t xml:space="preserve"> </w:t>
      </w:r>
      <w:r w:rsidR="00822FCC" w:rsidRPr="005F2BD1">
        <w:rPr>
          <w:rFonts w:asciiTheme="minorHAnsi" w:hAnsiTheme="minorHAnsi"/>
          <w:i/>
          <w:iCs/>
          <w:sz w:val="22"/>
          <w:u w:val="single"/>
        </w:rPr>
        <w:t>(more details in the ANNEXES)</w:t>
      </w:r>
    </w:p>
    <w:p w14:paraId="0B6E58C1" w14:textId="78E9FE1E" w:rsidR="00AC70CE" w:rsidRPr="005F2BD1" w:rsidRDefault="006909C5" w:rsidP="00DD1162">
      <w:pPr>
        <w:pStyle w:val="ListParagraph"/>
        <w:numPr>
          <w:ilvl w:val="0"/>
          <w:numId w:val="7"/>
        </w:numPr>
        <w:spacing w:after="60"/>
        <w:contextualSpacing w:val="0"/>
        <w:jc w:val="both"/>
        <w:rPr>
          <w:rFonts w:asciiTheme="minorHAnsi" w:hAnsiTheme="minorHAnsi"/>
          <w:sz w:val="22"/>
        </w:rPr>
      </w:pPr>
      <w:r w:rsidRPr="005F2BD1">
        <w:rPr>
          <w:rFonts w:asciiTheme="minorHAnsi" w:hAnsiTheme="minorHAnsi"/>
          <w:sz w:val="22"/>
        </w:rPr>
        <w:t>P</w:t>
      </w:r>
      <w:r w:rsidR="006F63E2" w:rsidRPr="005F2BD1">
        <w:rPr>
          <w:rFonts w:asciiTheme="minorHAnsi" w:hAnsiTheme="minorHAnsi"/>
          <w:sz w:val="22"/>
        </w:rPr>
        <w:t>ractice</w:t>
      </w:r>
      <w:r w:rsidR="00F76F9B" w:rsidRPr="005F2BD1">
        <w:rPr>
          <w:rFonts w:asciiTheme="minorHAnsi" w:hAnsiTheme="minorHAnsi"/>
          <w:sz w:val="22"/>
        </w:rPr>
        <w:t>s</w:t>
      </w:r>
      <w:r w:rsidR="006F63E2" w:rsidRPr="005F2BD1">
        <w:rPr>
          <w:rFonts w:asciiTheme="minorHAnsi" w:hAnsiTheme="minorHAnsi"/>
          <w:sz w:val="22"/>
        </w:rPr>
        <w:t xml:space="preserve"> refer to one </w:t>
      </w:r>
      <w:r w:rsidR="00A91BD3">
        <w:rPr>
          <w:rFonts w:asciiTheme="minorHAnsi" w:hAnsiTheme="minorHAnsi"/>
          <w:sz w:val="22"/>
        </w:rPr>
        <w:t xml:space="preserve">organisational </w:t>
      </w:r>
      <w:r w:rsidR="006F63E2" w:rsidRPr="005F2BD1">
        <w:rPr>
          <w:rFonts w:asciiTheme="minorHAnsi" w:hAnsiTheme="minorHAnsi"/>
          <w:sz w:val="22"/>
        </w:rPr>
        <w:t>type listed</w:t>
      </w:r>
      <w:r w:rsidR="00E5781C" w:rsidRPr="005F2BD1">
        <w:rPr>
          <w:rFonts w:asciiTheme="minorHAnsi" w:hAnsiTheme="minorHAnsi"/>
          <w:sz w:val="22"/>
        </w:rPr>
        <w:t xml:space="preserve"> </w:t>
      </w:r>
      <w:r w:rsidR="00F76F9B" w:rsidRPr="005F2BD1">
        <w:rPr>
          <w:rFonts w:asciiTheme="minorHAnsi" w:hAnsiTheme="minorHAnsi"/>
          <w:sz w:val="22"/>
        </w:rPr>
        <w:t>in the rationale</w:t>
      </w:r>
      <w:r w:rsidR="00C91EED" w:rsidRPr="005F2BD1">
        <w:rPr>
          <w:rFonts w:asciiTheme="minorHAnsi" w:hAnsiTheme="minorHAnsi"/>
          <w:sz w:val="22"/>
        </w:rPr>
        <w:t xml:space="preserve">: </w:t>
      </w:r>
      <w:r w:rsidR="00F76F9B" w:rsidRPr="005F2BD1">
        <w:rPr>
          <w:rFonts w:asciiTheme="minorHAnsi" w:hAnsiTheme="minorHAnsi"/>
          <w:sz w:val="22"/>
        </w:rPr>
        <w:t xml:space="preserve"> </w:t>
      </w:r>
      <w:proofErr w:type="spellStart"/>
      <w:r w:rsidR="00C91EED" w:rsidRPr="005F2BD1">
        <w:rPr>
          <w:rFonts w:asciiTheme="minorHAnsi" w:hAnsiTheme="minorHAnsi"/>
          <w:sz w:val="22"/>
        </w:rPr>
        <w:t>microinsurance</w:t>
      </w:r>
      <w:proofErr w:type="spellEnd"/>
      <w:r w:rsidR="00C91EED" w:rsidRPr="005F2BD1">
        <w:rPr>
          <w:rFonts w:asciiTheme="minorHAnsi" w:hAnsiTheme="minorHAnsi"/>
          <w:sz w:val="22"/>
        </w:rPr>
        <w:t xml:space="preserve"> and microfinance organisations; </w:t>
      </w:r>
      <w:r w:rsidR="00F76F9B" w:rsidRPr="005F2BD1">
        <w:rPr>
          <w:rFonts w:asciiTheme="minorHAnsi" w:hAnsiTheme="minorHAnsi"/>
          <w:sz w:val="22"/>
        </w:rPr>
        <w:t>producers’, traders’ and processors’ organisations</w:t>
      </w:r>
      <w:r w:rsidR="00C91EED" w:rsidRPr="005F2BD1">
        <w:rPr>
          <w:rFonts w:asciiTheme="minorHAnsi" w:hAnsiTheme="minorHAnsi"/>
          <w:sz w:val="22"/>
        </w:rPr>
        <w:t>;</w:t>
      </w:r>
      <w:r w:rsidR="00F76F9B" w:rsidRPr="005F2BD1">
        <w:rPr>
          <w:rFonts w:asciiTheme="minorHAnsi" w:hAnsiTheme="minorHAnsi"/>
          <w:sz w:val="22"/>
        </w:rPr>
        <w:t xml:space="preserve"> </w:t>
      </w:r>
      <w:r w:rsidR="00C91EED" w:rsidRPr="005F2BD1">
        <w:rPr>
          <w:rFonts w:asciiTheme="minorHAnsi" w:hAnsiTheme="minorHAnsi"/>
          <w:sz w:val="22"/>
        </w:rPr>
        <w:t>and informal groups</w:t>
      </w:r>
      <w:r w:rsidR="00E5781C" w:rsidRPr="005F2BD1">
        <w:rPr>
          <w:rFonts w:asciiTheme="minorHAnsi" w:hAnsiTheme="minorHAnsi"/>
          <w:sz w:val="22"/>
        </w:rPr>
        <w:t>.</w:t>
      </w:r>
      <w:r w:rsidR="00AE3AC1" w:rsidRPr="005F2BD1">
        <w:rPr>
          <w:rFonts w:asciiTheme="minorHAnsi" w:hAnsiTheme="minorHAnsi"/>
          <w:sz w:val="22"/>
        </w:rPr>
        <w:t xml:space="preserve"> </w:t>
      </w:r>
      <w:r w:rsidR="00E56F10" w:rsidRPr="005F2BD1">
        <w:rPr>
          <w:rFonts w:asciiTheme="minorHAnsi" w:hAnsiTheme="minorHAnsi"/>
          <w:sz w:val="22"/>
        </w:rPr>
        <w:t xml:space="preserve">Existing </w:t>
      </w:r>
      <w:r w:rsidR="00A91BD3">
        <w:rPr>
          <w:rFonts w:asciiTheme="minorHAnsi" w:hAnsiTheme="minorHAnsi"/>
          <w:sz w:val="22"/>
        </w:rPr>
        <w:t>social</w:t>
      </w:r>
      <w:r w:rsidR="00E56F10" w:rsidRPr="005F2BD1">
        <w:rPr>
          <w:rFonts w:asciiTheme="minorHAnsi" w:hAnsiTheme="minorHAnsi"/>
          <w:sz w:val="22"/>
        </w:rPr>
        <w:t xml:space="preserve"> committees </w:t>
      </w:r>
      <w:r w:rsidR="00A91BD3">
        <w:rPr>
          <w:rFonts w:asciiTheme="minorHAnsi" w:hAnsiTheme="minorHAnsi"/>
          <w:sz w:val="22"/>
        </w:rPr>
        <w:t>established within SP systems and</w:t>
      </w:r>
      <w:r w:rsidR="00813ABC">
        <w:rPr>
          <w:rFonts w:asciiTheme="minorHAnsi" w:hAnsiTheme="minorHAnsi"/>
          <w:sz w:val="22"/>
        </w:rPr>
        <w:t xml:space="preserve"> where rural people’s interests</w:t>
      </w:r>
      <w:r w:rsidR="00A91BD3">
        <w:rPr>
          <w:rFonts w:asciiTheme="minorHAnsi" w:hAnsiTheme="minorHAnsi"/>
          <w:sz w:val="22"/>
        </w:rPr>
        <w:t xml:space="preserve"> are represented</w:t>
      </w:r>
      <w:r w:rsidR="00E56F10" w:rsidRPr="005F2BD1">
        <w:rPr>
          <w:rFonts w:asciiTheme="minorHAnsi" w:hAnsiTheme="minorHAnsi"/>
          <w:sz w:val="22"/>
        </w:rPr>
        <w:t xml:space="preserve"> </w:t>
      </w:r>
      <w:r w:rsidR="00254612" w:rsidRPr="005F2BD1">
        <w:rPr>
          <w:rFonts w:asciiTheme="minorHAnsi" w:hAnsiTheme="minorHAnsi"/>
          <w:sz w:val="22"/>
        </w:rPr>
        <w:t>should</w:t>
      </w:r>
      <w:r w:rsidR="00E56F10" w:rsidRPr="005F2BD1">
        <w:rPr>
          <w:rFonts w:asciiTheme="minorHAnsi" w:hAnsiTheme="minorHAnsi"/>
          <w:sz w:val="22"/>
        </w:rPr>
        <w:t xml:space="preserve"> also</w:t>
      </w:r>
      <w:r w:rsidR="00254612" w:rsidRPr="005F2BD1">
        <w:rPr>
          <w:rFonts w:asciiTheme="minorHAnsi" w:hAnsiTheme="minorHAnsi"/>
          <w:sz w:val="22"/>
        </w:rPr>
        <w:t xml:space="preserve"> be</w:t>
      </w:r>
      <w:r w:rsidR="00E56F10" w:rsidRPr="005F2BD1">
        <w:rPr>
          <w:rFonts w:asciiTheme="minorHAnsi" w:hAnsiTheme="minorHAnsi"/>
          <w:sz w:val="22"/>
        </w:rPr>
        <w:t xml:space="preserve"> considered</w:t>
      </w:r>
      <w:r w:rsidR="00AE3AC1" w:rsidRPr="005F2BD1">
        <w:rPr>
          <w:rFonts w:asciiTheme="minorHAnsi" w:hAnsiTheme="minorHAnsi"/>
          <w:sz w:val="22"/>
        </w:rPr>
        <w:t>.</w:t>
      </w:r>
    </w:p>
    <w:p w14:paraId="234F9797" w14:textId="3F26A93F" w:rsidR="006F63E2" w:rsidRPr="005F2BD1" w:rsidRDefault="00A91BD3" w:rsidP="00822FCC">
      <w:pPr>
        <w:pStyle w:val="ListParagraph"/>
        <w:numPr>
          <w:ilvl w:val="0"/>
          <w:numId w:val="7"/>
        </w:numPr>
        <w:spacing w:after="60"/>
        <w:contextualSpacing w:val="0"/>
        <w:jc w:val="both"/>
        <w:rPr>
          <w:rFonts w:asciiTheme="minorHAnsi" w:hAnsiTheme="minorHAnsi"/>
          <w:sz w:val="22"/>
        </w:rPr>
      </w:pPr>
      <w:r>
        <w:rPr>
          <w:rFonts w:asciiTheme="minorHAnsi" w:hAnsiTheme="minorHAnsi"/>
          <w:sz w:val="22"/>
        </w:rPr>
        <w:t>The organisation</w:t>
      </w:r>
      <w:r w:rsidR="00E5781C" w:rsidRPr="005F2BD1">
        <w:rPr>
          <w:rFonts w:asciiTheme="minorHAnsi" w:hAnsiTheme="minorHAnsi"/>
          <w:sz w:val="22"/>
        </w:rPr>
        <w:t xml:space="preserve"> must be member-based </w:t>
      </w:r>
      <w:r w:rsidR="00822FCC" w:rsidRPr="005F2BD1">
        <w:rPr>
          <w:rFonts w:asciiTheme="minorHAnsi" w:hAnsiTheme="minorHAnsi"/>
          <w:sz w:val="22"/>
        </w:rPr>
        <w:t xml:space="preserve">and </w:t>
      </w:r>
      <w:r w:rsidR="00AC70CE" w:rsidRPr="005F2BD1">
        <w:rPr>
          <w:rFonts w:asciiTheme="minorHAnsi" w:hAnsiTheme="minorHAnsi"/>
          <w:sz w:val="22"/>
        </w:rPr>
        <w:t>show some e</w:t>
      </w:r>
      <w:r w:rsidR="00822FCC" w:rsidRPr="005F2BD1">
        <w:rPr>
          <w:rFonts w:asciiTheme="minorHAnsi" w:hAnsiTheme="minorHAnsi"/>
          <w:sz w:val="22"/>
        </w:rPr>
        <w:t>xtent of regularity of meetings</w:t>
      </w:r>
      <w:r w:rsidR="00AC70CE" w:rsidRPr="005F2BD1">
        <w:rPr>
          <w:rFonts w:asciiTheme="minorHAnsi" w:hAnsiTheme="minorHAnsi"/>
          <w:sz w:val="22"/>
        </w:rPr>
        <w:t xml:space="preserve">. </w:t>
      </w:r>
    </w:p>
    <w:p w14:paraId="3F774D87" w14:textId="049E35E2" w:rsidR="0028449B" w:rsidRDefault="00A91BD3" w:rsidP="00B6262E">
      <w:pPr>
        <w:pStyle w:val="ListParagraph"/>
        <w:numPr>
          <w:ilvl w:val="0"/>
          <w:numId w:val="7"/>
        </w:numPr>
        <w:spacing w:after="60"/>
        <w:contextualSpacing w:val="0"/>
        <w:jc w:val="both"/>
        <w:rPr>
          <w:rFonts w:asciiTheme="minorHAnsi" w:hAnsiTheme="minorHAnsi"/>
          <w:sz w:val="22"/>
        </w:rPr>
      </w:pPr>
      <w:r>
        <w:rPr>
          <w:rFonts w:asciiTheme="minorHAnsi" w:hAnsiTheme="minorHAnsi"/>
          <w:sz w:val="22"/>
        </w:rPr>
        <w:t>The organisation</w:t>
      </w:r>
      <w:r w:rsidR="0028449B" w:rsidRPr="005F2BD1">
        <w:rPr>
          <w:rFonts w:asciiTheme="minorHAnsi" w:hAnsiTheme="minorHAnsi"/>
          <w:sz w:val="22"/>
        </w:rPr>
        <w:t xml:space="preserve"> operate</w:t>
      </w:r>
      <w:r>
        <w:rPr>
          <w:rFonts w:asciiTheme="minorHAnsi" w:hAnsiTheme="minorHAnsi"/>
          <w:sz w:val="22"/>
        </w:rPr>
        <w:t>s</w:t>
      </w:r>
      <w:r w:rsidR="0028449B" w:rsidRPr="005F2BD1">
        <w:rPr>
          <w:rFonts w:asciiTheme="minorHAnsi" w:hAnsiTheme="minorHAnsi"/>
          <w:sz w:val="22"/>
        </w:rPr>
        <w:t xml:space="preserve"> in rural areas and </w:t>
      </w:r>
      <w:r>
        <w:rPr>
          <w:rFonts w:asciiTheme="minorHAnsi" w:hAnsiTheme="minorHAnsi"/>
          <w:sz w:val="22"/>
        </w:rPr>
        <w:t>in favour of</w:t>
      </w:r>
      <w:r w:rsidR="008445D3" w:rsidRPr="005F2BD1">
        <w:rPr>
          <w:rFonts w:asciiTheme="minorHAnsi" w:hAnsiTheme="minorHAnsi"/>
          <w:sz w:val="22"/>
        </w:rPr>
        <w:t xml:space="preserve"> smallholders or rural labourers</w:t>
      </w:r>
      <w:r w:rsidR="0028449B" w:rsidRPr="005F2BD1">
        <w:rPr>
          <w:rFonts w:asciiTheme="minorHAnsi" w:hAnsiTheme="minorHAnsi"/>
          <w:sz w:val="22"/>
        </w:rPr>
        <w:t xml:space="preserve"> whose livelihoods depend</w:t>
      </w:r>
      <w:r w:rsidR="0051151E" w:rsidRPr="005F2BD1">
        <w:rPr>
          <w:rFonts w:asciiTheme="minorHAnsi" w:hAnsiTheme="minorHAnsi"/>
          <w:sz w:val="22"/>
        </w:rPr>
        <w:t>,</w:t>
      </w:r>
      <w:r w:rsidR="0028449B" w:rsidRPr="005F2BD1">
        <w:rPr>
          <w:rFonts w:asciiTheme="minorHAnsi" w:hAnsiTheme="minorHAnsi"/>
          <w:sz w:val="22"/>
        </w:rPr>
        <w:t xml:space="preserve"> </w:t>
      </w:r>
      <w:r w:rsidR="0051151E" w:rsidRPr="005F2BD1">
        <w:rPr>
          <w:rFonts w:asciiTheme="minorHAnsi" w:hAnsiTheme="minorHAnsi"/>
          <w:sz w:val="22"/>
        </w:rPr>
        <w:t xml:space="preserve">to some degree, </w:t>
      </w:r>
      <w:r w:rsidR="0028449B" w:rsidRPr="005F2BD1">
        <w:rPr>
          <w:rFonts w:asciiTheme="minorHAnsi" w:hAnsiTheme="minorHAnsi"/>
          <w:sz w:val="22"/>
        </w:rPr>
        <w:t>on agriculture</w:t>
      </w:r>
      <w:r w:rsidR="0051151E" w:rsidRPr="005F2BD1">
        <w:rPr>
          <w:rFonts w:asciiTheme="minorHAnsi" w:hAnsiTheme="minorHAnsi"/>
          <w:sz w:val="22"/>
        </w:rPr>
        <w:t>, livestock, fisheries and forestry</w:t>
      </w:r>
      <w:r w:rsidR="0028449B" w:rsidRPr="005F2BD1">
        <w:rPr>
          <w:rFonts w:asciiTheme="minorHAnsi" w:hAnsiTheme="minorHAnsi"/>
          <w:sz w:val="22"/>
        </w:rPr>
        <w:t>.</w:t>
      </w:r>
    </w:p>
    <w:p w14:paraId="2A9EB5C4" w14:textId="77777777" w:rsidR="00EA17A7" w:rsidRPr="005F2BD1" w:rsidRDefault="00EA17A7" w:rsidP="007A63C9">
      <w:pPr>
        <w:pStyle w:val="ListParagraph"/>
        <w:spacing w:after="60"/>
        <w:ind w:left="170"/>
        <w:contextualSpacing w:val="0"/>
        <w:jc w:val="both"/>
        <w:rPr>
          <w:rFonts w:asciiTheme="minorHAnsi" w:hAnsiTheme="minorHAnsi"/>
          <w:sz w:val="22"/>
        </w:rPr>
      </w:pPr>
    </w:p>
    <w:p w14:paraId="5EE60D6E" w14:textId="431EC977" w:rsidR="004B51CB" w:rsidRPr="005F2BD1" w:rsidRDefault="00E17DF0" w:rsidP="00822FCC">
      <w:pPr>
        <w:spacing w:after="60"/>
        <w:jc w:val="center"/>
        <w:rPr>
          <w:rFonts w:asciiTheme="minorHAnsi" w:hAnsiTheme="minorHAnsi"/>
          <w:i/>
          <w:iCs/>
          <w:sz w:val="22"/>
          <w:u w:val="single"/>
        </w:rPr>
      </w:pPr>
      <w:r w:rsidRPr="005F2BD1">
        <w:rPr>
          <w:rFonts w:asciiTheme="minorHAnsi" w:hAnsiTheme="minorHAnsi"/>
          <w:i/>
          <w:iCs/>
          <w:sz w:val="22"/>
          <w:u w:val="single"/>
        </w:rPr>
        <w:t>C</w:t>
      </w:r>
      <w:r w:rsidR="004B51CB" w:rsidRPr="005F2BD1">
        <w:rPr>
          <w:rFonts w:asciiTheme="minorHAnsi" w:hAnsiTheme="minorHAnsi"/>
          <w:i/>
          <w:iCs/>
          <w:sz w:val="22"/>
          <w:u w:val="single"/>
        </w:rPr>
        <w:t xml:space="preserve">riteria for selecting </w:t>
      </w:r>
      <w:r w:rsidR="00A91BD3">
        <w:rPr>
          <w:rFonts w:asciiTheme="minorHAnsi" w:hAnsiTheme="minorHAnsi"/>
          <w:i/>
          <w:iCs/>
          <w:sz w:val="22"/>
          <w:u w:val="single"/>
        </w:rPr>
        <w:t xml:space="preserve">relevant </w:t>
      </w:r>
      <w:r w:rsidR="004B51CB" w:rsidRPr="005F2BD1">
        <w:rPr>
          <w:rFonts w:asciiTheme="minorHAnsi" w:hAnsiTheme="minorHAnsi"/>
          <w:i/>
          <w:iCs/>
          <w:sz w:val="22"/>
          <w:u w:val="single"/>
        </w:rPr>
        <w:t xml:space="preserve">practices </w:t>
      </w:r>
      <w:r w:rsidR="00822FCC" w:rsidRPr="005F2BD1">
        <w:rPr>
          <w:rFonts w:asciiTheme="minorHAnsi" w:hAnsiTheme="minorHAnsi"/>
          <w:i/>
          <w:iCs/>
          <w:sz w:val="22"/>
          <w:u w:val="single"/>
        </w:rPr>
        <w:t>(more details in the ANNEXES)</w:t>
      </w:r>
    </w:p>
    <w:tbl>
      <w:tblPr>
        <w:tblStyle w:val="TableGrid"/>
        <w:tblW w:w="0" w:type="auto"/>
        <w:tblBorders>
          <w:top w:val="none" w:sz="0" w:space="0" w:color="auto"/>
          <w:left w:val="none" w:sz="0" w:space="0" w:color="auto"/>
          <w:bottom w:val="none" w:sz="0" w:space="0" w:color="auto"/>
          <w:right w:val="none" w:sz="0" w:space="0" w:color="auto"/>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4643"/>
        <w:gridCol w:w="4644"/>
      </w:tblGrid>
      <w:tr w:rsidR="004C3B2B" w:rsidRPr="005F2BD1" w14:paraId="01BA0169" w14:textId="77777777" w:rsidTr="004C3B2B">
        <w:tc>
          <w:tcPr>
            <w:tcW w:w="4643" w:type="dxa"/>
          </w:tcPr>
          <w:p w14:paraId="3A9E298D" w14:textId="77777777" w:rsidR="00C91EED" w:rsidRPr="005F2BD1" w:rsidRDefault="00C91EED" w:rsidP="00C91EED">
            <w:pPr>
              <w:spacing w:after="60"/>
              <w:jc w:val="center"/>
              <w:rPr>
                <w:rFonts w:asciiTheme="minorHAnsi" w:hAnsiTheme="minorHAnsi"/>
                <w:b/>
                <w:bCs/>
                <w:i/>
                <w:iCs/>
                <w:color w:val="244061" w:themeColor="accent1" w:themeShade="80"/>
              </w:rPr>
            </w:pPr>
            <w:r w:rsidRPr="005F2BD1">
              <w:rPr>
                <w:rFonts w:asciiTheme="minorHAnsi" w:hAnsiTheme="minorHAnsi"/>
                <w:b/>
                <w:bCs/>
                <w:i/>
                <w:iCs/>
                <w:color w:val="244061" w:themeColor="accent1" w:themeShade="80"/>
              </w:rPr>
              <w:t>Participatory mechanisms in SP systems</w:t>
            </w:r>
          </w:p>
          <w:p w14:paraId="60ACD1F9" w14:textId="38A08AAB" w:rsidR="00C91EED" w:rsidRPr="005F2BD1" w:rsidRDefault="00C91EED" w:rsidP="00C91EED">
            <w:pPr>
              <w:pStyle w:val="ListParagraph"/>
              <w:numPr>
                <w:ilvl w:val="0"/>
                <w:numId w:val="7"/>
              </w:numPr>
              <w:spacing w:after="60"/>
              <w:contextualSpacing w:val="0"/>
              <w:jc w:val="both"/>
              <w:rPr>
                <w:rFonts w:asciiTheme="minorHAnsi" w:hAnsiTheme="minorHAnsi"/>
              </w:rPr>
            </w:pPr>
            <w:r w:rsidRPr="005F2BD1">
              <w:rPr>
                <w:rFonts w:asciiTheme="minorHAnsi" w:hAnsiTheme="minorHAnsi"/>
              </w:rPr>
              <w:t>The practice refers to one o</w:t>
            </w:r>
            <w:r w:rsidR="00226729">
              <w:rPr>
                <w:rFonts w:asciiTheme="minorHAnsi" w:hAnsiTheme="minorHAnsi"/>
              </w:rPr>
              <w:t>r more participatory mechanisms of</w:t>
            </w:r>
            <w:r w:rsidRPr="005F2BD1">
              <w:rPr>
                <w:rFonts w:asciiTheme="minorHAnsi" w:hAnsiTheme="minorHAnsi"/>
              </w:rPr>
              <w:t xml:space="preserve"> consultation, collaboration and devolution of decision-making power</w:t>
            </w:r>
            <w:r w:rsidRPr="005F2BD1">
              <w:rPr>
                <w:rStyle w:val="FootnoteReference"/>
                <w:rFonts w:asciiTheme="minorHAnsi" w:hAnsiTheme="minorHAnsi"/>
              </w:rPr>
              <w:footnoteReference w:id="8"/>
            </w:r>
            <w:r w:rsidRPr="005F2BD1">
              <w:rPr>
                <w:rFonts w:asciiTheme="minorHAnsi" w:hAnsiTheme="minorHAnsi"/>
              </w:rPr>
              <w:t>.</w:t>
            </w:r>
          </w:p>
          <w:p w14:paraId="61002FCC" w14:textId="77777777" w:rsidR="004C3B2B" w:rsidRPr="005F2BD1" w:rsidRDefault="00C91EED" w:rsidP="00C91EED">
            <w:pPr>
              <w:pStyle w:val="ListParagraph"/>
              <w:numPr>
                <w:ilvl w:val="0"/>
                <w:numId w:val="7"/>
              </w:numPr>
              <w:spacing w:after="60"/>
              <w:contextualSpacing w:val="0"/>
              <w:jc w:val="both"/>
              <w:rPr>
                <w:rFonts w:asciiTheme="minorHAnsi" w:hAnsiTheme="minorHAnsi"/>
              </w:rPr>
            </w:pPr>
            <w:r w:rsidRPr="005F2BD1">
              <w:rPr>
                <w:rFonts w:asciiTheme="minorHAnsi" w:hAnsiTheme="minorHAnsi"/>
              </w:rPr>
              <w:t xml:space="preserve">Poor and vulnerable members are represented in participatory mechanisms. </w:t>
            </w:r>
          </w:p>
        </w:tc>
        <w:tc>
          <w:tcPr>
            <w:tcW w:w="4644" w:type="dxa"/>
          </w:tcPr>
          <w:p w14:paraId="5F3685FD" w14:textId="32A1A750" w:rsidR="00C91EED" w:rsidRPr="005F2BD1" w:rsidRDefault="004C3B2B" w:rsidP="00C91EED">
            <w:pPr>
              <w:spacing w:after="60"/>
              <w:jc w:val="center"/>
              <w:rPr>
                <w:rFonts w:asciiTheme="minorHAnsi" w:hAnsiTheme="minorHAnsi"/>
                <w:b/>
                <w:bCs/>
                <w:i/>
                <w:iCs/>
                <w:color w:val="244061" w:themeColor="accent1" w:themeShade="80"/>
              </w:rPr>
            </w:pPr>
            <w:r w:rsidRPr="005F2BD1">
              <w:rPr>
                <w:rFonts w:asciiTheme="minorHAnsi" w:hAnsiTheme="minorHAnsi"/>
              </w:rPr>
              <w:t xml:space="preserve"> </w:t>
            </w:r>
            <w:r w:rsidR="00C91EED" w:rsidRPr="005F2BD1">
              <w:rPr>
                <w:rFonts w:asciiTheme="minorHAnsi" w:hAnsiTheme="minorHAnsi"/>
                <w:b/>
                <w:bCs/>
                <w:i/>
                <w:iCs/>
                <w:color w:val="244061" w:themeColor="accent1" w:themeShade="80"/>
              </w:rPr>
              <w:t xml:space="preserve">Collective practices of </w:t>
            </w:r>
            <w:r w:rsidR="00A5203A">
              <w:rPr>
                <w:rFonts w:asciiTheme="minorHAnsi" w:hAnsiTheme="minorHAnsi"/>
                <w:b/>
                <w:bCs/>
                <w:i/>
                <w:iCs/>
                <w:color w:val="244061" w:themeColor="accent1" w:themeShade="80"/>
              </w:rPr>
              <w:t>risk management</w:t>
            </w:r>
          </w:p>
          <w:p w14:paraId="49BF35CB" w14:textId="77777777" w:rsidR="00C91EED" w:rsidRPr="005F2BD1" w:rsidRDefault="00C91EED" w:rsidP="00C91EED">
            <w:pPr>
              <w:pStyle w:val="ListParagraph"/>
              <w:numPr>
                <w:ilvl w:val="0"/>
                <w:numId w:val="7"/>
              </w:numPr>
              <w:spacing w:after="60"/>
              <w:contextualSpacing w:val="0"/>
              <w:jc w:val="both"/>
              <w:rPr>
                <w:rFonts w:asciiTheme="minorHAnsi" w:hAnsiTheme="minorHAnsi"/>
              </w:rPr>
            </w:pPr>
            <w:r w:rsidRPr="005F2BD1">
              <w:rPr>
                <w:rFonts w:asciiTheme="minorHAnsi" w:hAnsiTheme="minorHAnsi"/>
              </w:rPr>
              <w:t xml:space="preserve">The practice addresses situations of poverty and vulnerability </w:t>
            </w:r>
          </w:p>
          <w:p w14:paraId="22769264" w14:textId="77777777" w:rsidR="004C3B2B" w:rsidRDefault="0090537D" w:rsidP="0090537D">
            <w:pPr>
              <w:pStyle w:val="ListParagraph"/>
              <w:numPr>
                <w:ilvl w:val="0"/>
                <w:numId w:val="7"/>
              </w:numPr>
              <w:spacing w:after="60"/>
              <w:contextualSpacing w:val="0"/>
              <w:jc w:val="both"/>
              <w:rPr>
                <w:rFonts w:asciiTheme="minorHAnsi" w:hAnsiTheme="minorHAnsi"/>
              </w:rPr>
            </w:pPr>
            <w:r w:rsidRPr="005F2BD1">
              <w:rPr>
                <w:rFonts w:asciiTheme="minorHAnsi" w:hAnsiTheme="minorHAnsi"/>
              </w:rPr>
              <w:t>It</w:t>
            </w:r>
            <w:r w:rsidR="00C91EED" w:rsidRPr="005F2BD1">
              <w:rPr>
                <w:rFonts w:asciiTheme="minorHAnsi" w:hAnsiTheme="minorHAnsi"/>
              </w:rPr>
              <w:t xml:space="preserve"> </w:t>
            </w:r>
            <w:r w:rsidRPr="005F2BD1">
              <w:rPr>
                <w:rFonts w:asciiTheme="minorHAnsi" w:hAnsiTheme="minorHAnsi"/>
              </w:rPr>
              <w:t>provides</w:t>
            </w:r>
            <w:r w:rsidR="00C91EED" w:rsidRPr="005F2BD1">
              <w:rPr>
                <w:rFonts w:asciiTheme="minorHAnsi" w:hAnsiTheme="minorHAnsi"/>
              </w:rPr>
              <w:t xml:space="preserve"> one or more of the following: </w:t>
            </w:r>
            <w:r w:rsidRPr="005F2BD1">
              <w:rPr>
                <w:rFonts w:asciiTheme="minorHAnsi" w:hAnsiTheme="minorHAnsi"/>
              </w:rPr>
              <w:t>reducing, adapting and</w:t>
            </w:r>
            <w:r w:rsidR="00C91EED" w:rsidRPr="005F2BD1">
              <w:rPr>
                <w:rFonts w:asciiTheme="minorHAnsi" w:hAnsiTheme="minorHAnsi"/>
              </w:rPr>
              <w:t xml:space="preserve"> coping</w:t>
            </w:r>
            <w:r w:rsidRPr="005F2BD1">
              <w:rPr>
                <w:rFonts w:asciiTheme="minorHAnsi" w:hAnsiTheme="minorHAnsi"/>
              </w:rPr>
              <w:t xml:space="preserve"> with risk; food security;</w:t>
            </w:r>
            <w:r w:rsidR="00C91EED" w:rsidRPr="005F2BD1">
              <w:rPr>
                <w:rFonts w:asciiTheme="minorHAnsi" w:hAnsiTheme="minorHAnsi"/>
              </w:rPr>
              <w:t xml:space="preserve"> income stability</w:t>
            </w:r>
            <w:r w:rsidRPr="005F2BD1">
              <w:rPr>
                <w:rFonts w:asciiTheme="minorHAnsi" w:hAnsiTheme="minorHAnsi"/>
              </w:rPr>
              <w:t>; essential services (e.g. health, education)</w:t>
            </w:r>
            <w:r w:rsidR="00C91EED" w:rsidRPr="005F2BD1">
              <w:rPr>
                <w:rFonts w:asciiTheme="minorHAnsi" w:hAnsiTheme="minorHAnsi"/>
              </w:rPr>
              <w:t>.</w:t>
            </w:r>
          </w:p>
          <w:p w14:paraId="477F8264" w14:textId="77777777" w:rsidR="00EA17A7" w:rsidRPr="005F2BD1" w:rsidRDefault="00EA17A7" w:rsidP="007A63C9">
            <w:pPr>
              <w:pStyle w:val="ListParagraph"/>
              <w:spacing w:after="60"/>
              <w:ind w:left="170"/>
              <w:contextualSpacing w:val="0"/>
              <w:jc w:val="both"/>
              <w:rPr>
                <w:rFonts w:asciiTheme="minorHAnsi" w:hAnsiTheme="minorHAnsi"/>
                <w:sz w:val="24"/>
              </w:rPr>
            </w:pPr>
          </w:p>
        </w:tc>
      </w:tr>
    </w:tbl>
    <w:p w14:paraId="57D4CCC5" w14:textId="7E19E0D1" w:rsidR="00A7595B" w:rsidRPr="005F2BD1" w:rsidRDefault="00222193" w:rsidP="00EA17A7">
      <w:pPr>
        <w:spacing w:before="120" w:after="60"/>
        <w:jc w:val="both"/>
        <w:rPr>
          <w:rFonts w:asciiTheme="minorHAnsi" w:hAnsiTheme="minorHAnsi"/>
          <w:sz w:val="22"/>
        </w:rPr>
      </w:pPr>
      <w:r>
        <w:rPr>
          <w:rFonts w:asciiTheme="minorHAnsi" w:hAnsiTheme="minorHAnsi"/>
          <w:bCs/>
          <w:iCs/>
          <w:sz w:val="22"/>
        </w:rPr>
        <w:t>P</w:t>
      </w:r>
      <w:r w:rsidR="00254612" w:rsidRPr="005F2BD1">
        <w:rPr>
          <w:rFonts w:asciiTheme="minorHAnsi" w:hAnsiTheme="minorHAnsi"/>
          <w:sz w:val="22"/>
        </w:rPr>
        <w:t>articipants</w:t>
      </w:r>
      <w:r w:rsidR="0030740C" w:rsidRPr="005F2BD1">
        <w:rPr>
          <w:rFonts w:asciiTheme="minorHAnsi" w:hAnsiTheme="minorHAnsi"/>
          <w:sz w:val="22"/>
        </w:rPr>
        <w:t xml:space="preserve"> </w:t>
      </w:r>
      <w:r>
        <w:rPr>
          <w:rFonts w:asciiTheme="minorHAnsi" w:hAnsiTheme="minorHAnsi"/>
          <w:sz w:val="22"/>
        </w:rPr>
        <w:t>will be asked to describe and assess</w:t>
      </w:r>
      <w:r w:rsidR="0030740C" w:rsidRPr="005F2BD1">
        <w:rPr>
          <w:rFonts w:asciiTheme="minorHAnsi" w:hAnsiTheme="minorHAnsi"/>
          <w:sz w:val="22"/>
        </w:rPr>
        <w:t xml:space="preserve"> </w:t>
      </w:r>
      <w:r>
        <w:rPr>
          <w:rFonts w:asciiTheme="minorHAnsi" w:hAnsiTheme="minorHAnsi"/>
          <w:sz w:val="22"/>
        </w:rPr>
        <w:t>t</w:t>
      </w:r>
      <w:r w:rsidR="0030740C" w:rsidRPr="005F2BD1">
        <w:rPr>
          <w:rFonts w:asciiTheme="minorHAnsi" w:hAnsiTheme="minorHAnsi"/>
          <w:sz w:val="22"/>
        </w:rPr>
        <w:t xml:space="preserve">he practice </w:t>
      </w:r>
      <w:r>
        <w:rPr>
          <w:rFonts w:asciiTheme="minorHAnsi" w:hAnsiTheme="minorHAnsi"/>
          <w:sz w:val="22"/>
        </w:rPr>
        <w:t>following the</w:t>
      </w:r>
      <w:r w:rsidR="0030740C" w:rsidRPr="005F2BD1">
        <w:rPr>
          <w:rFonts w:asciiTheme="minorHAnsi" w:hAnsiTheme="minorHAnsi"/>
          <w:sz w:val="22"/>
        </w:rPr>
        <w:t xml:space="preserve"> instruction</w:t>
      </w:r>
      <w:r>
        <w:rPr>
          <w:rFonts w:asciiTheme="minorHAnsi" w:hAnsiTheme="minorHAnsi"/>
          <w:sz w:val="22"/>
        </w:rPr>
        <w:t>s</w:t>
      </w:r>
      <w:r w:rsidR="0030740C" w:rsidRPr="005F2BD1">
        <w:rPr>
          <w:rFonts w:asciiTheme="minorHAnsi" w:hAnsiTheme="minorHAnsi"/>
          <w:sz w:val="22"/>
        </w:rPr>
        <w:t xml:space="preserve"> in </w:t>
      </w:r>
      <w:r>
        <w:rPr>
          <w:rFonts w:asciiTheme="minorHAnsi" w:hAnsiTheme="minorHAnsi"/>
          <w:sz w:val="22"/>
        </w:rPr>
        <w:t>the ANNEXES</w:t>
      </w:r>
      <w:r w:rsidR="0030740C" w:rsidRPr="005F2BD1">
        <w:rPr>
          <w:rFonts w:asciiTheme="minorHAnsi" w:hAnsiTheme="minorHAnsi"/>
          <w:sz w:val="22"/>
        </w:rPr>
        <w:t xml:space="preserve">. The </w:t>
      </w:r>
      <w:r>
        <w:rPr>
          <w:rFonts w:asciiTheme="minorHAnsi" w:hAnsiTheme="minorHAnsi"/>
          <w:sz w:val="22"/>
        </w:rPr>
        <w:t>assessment</w:t>
      </w:r>
      <w:r w:rsidR="0030740C" w:rsidRPr="005F2BD1">
        <w:rPr>
          <w:rFonts w:asciiTheme="minorHAnsi" w:hAnsiTheme="minorHAnsi"/>
          <w:sz w:val="22"/>
        </w:rPr>
        <w:t xml:space="preserve"> is made according to criteria of: effectiveness; efficiency; technical feasibility; sustainability; equitability/participation; replicability and adaptability; and gender sensitiveness.</w:t>
      </w:r>
      <w:r w:rsidR="00282005" w:rsidRPr="005F2BD1">
        <w:rPr>
          <w:rFonts w:asciiTheme="minorHAnsi" w:hAnsiTheme="minorHAnsi"/>
          <w:sz w:val="22"/>
        </w:rPr>
        <w:t xml:space="preserve"> </w:t>
      </w:r>
      <w:r w:rsidR="00EA17A7">
        <w:rPr>
          <w:rFonts w:asciiTheme="minorHAnsi" w:hAnsiTheme="minorHAnsi"/>
          <w:b/>
          <w:bCs/>
          <w:sz w:val="22"/>
        </w:rPr>
        <w:t>Weaknesses in relation to</w:t>
      </w:r>
      <w:r w:rsidR="00282005" w:rsidRPr="005F2BD1">
        <w:rPr>
          <w:rFonts w:asciiTheme="minorHAnsi" w:hAnsiTheme="minorHAnsi"/>
          <w:b/>
          <w:bCs/>
          <w:sz w:val="22"/>
        </w:rPr>
        <w:t xml:space="preserve"> some of the criteria </w:t>
      </w:r>
      <w:r w:rsidR="00226729">
        <w:rPr>
          <w:rFonts w:asciiTheme="minorHAnsi" w:hAnsiTheme="minorHAnsi"/>
          <w:b/>
          <w:bCs/>
          <w:sz w:val="22"/>
        </w:rPr>
        <w:t>do</w:t>
      </w:r>
      <w:r w:rsidR="00282005" w:rsidRPr="005F2BD1">
        <w:rPr>
          <w:rFonts w:asciiTheme="minorHAnsi" w:hAnsiTheme="minorHAnsi"/>
          <w:b/>
          <w:bCs/>
          <w:sz w:val="22"/>
        </w:rPr>
        <w:t xml:space="preserve"> not mean that the practice </w:t>
      </w:r>
      <w:r w:rsidR="004C3B2B" w:rsidRPr="005F2BD1">
        <w:rPr>
          <w:rFonts w:asciiTheme="minorHAnsi" w:hAnsiTheme="minorHAnsi"/>
          <w:b/>
          <w:bCs/>
          <w:sz w:val="22"/>
        </w:rPr>
        <w:t>is not ‘</w:t>
      </w:r>
      <w:r w:rsidR="008333DA" w:rsidRPr="005F2BD1">
        <w:rPr>
          <w:rFonts w:asciiTheme="minorHAnsi" w:hAnsiTheme="minorHAnsi"/>
          <w:b/>
          <w:bCs/>
          <w:sz w:val="22"/>
        </w:rPr>
        <w:t>relevant</w:t>
      </w:r>
      <w:r w:rsidR="004C3B2B" w:rsidRPr="005F2BD1">
        <w:rPr>
          <w:rFonts w:asciiTheme="minorHAnsi" w:hAnsiTheme="minorHAnsi"/>
          <w:b/>
          <w:bCs/>
          <w:sz w:val="22"/>
        </w:rPr>
        <w:t>’</w:t>
      </w:r>
      <w:r w:rsidR="004C3B2B" w:rsidRPr="005F2BD1">
        <w:rPr>
          <w:rFonts w:asciiTheme="minorHAnsi" w:hAnsiTheme="minorHAnsi"/>
          <w:sz w:val="22"/>
        </w:rPr>
        <w:t xml:space="preserve">. </w:t>
      </w:r>
      <w:r w:rsidR="008333DA" w:rsidRPr="005F2BD1">
        <w:rPr>
          <w:rFonts w:asciiTheme="minorHAnsi" w:hAnsiTheme="minorHAnsi"/>
          <w:sz w:val="22"/>
        </w:rPr>
        <w:t>G</w:t>
      </w:r>
      <w:r w:rsidR="004C3B2B" w:rsidRPr="005F2BD1">
        <w:rPr>
          <w:rFonts w:asciiTheme="minorHAnsi" w:hAnsiTheme="minorHAnsi"/>
          <w:sz w:val="22"/>
        </w:rPr>
        <w:t>ood performance on some of these indicators</w:t>
      </w:r>
      <w:r w:rsidR="00EA17A7">
        <w:rPr>
          <w:rFonts w:asciiTheme="minorHAnsi" w:hAnsiTheme="minorHAnsi"/>
          <w:sz w:val="22"/>
        </w:rPr>
        <w:t xml:space="preserve">, </w:t>
      </w:r>
      <w:r w:rsidR="008333DA" w:rsidRPr="005F2BD1">
        <w:rPr>
          <w:rFonts w:asciiTheme="minorHAnsi" w:hAnsiTheme="minorHAnsi"/>
          <w:sz w:val="22"/>
        </w:rPr>
        <w:t xml:space="preserve">as </w:t>
      </w:r>
      <w:r w:rsidR="00EA17A7">
        <w:rPr>
          <w:rFonts w:asciiTheme="minorHAnsi" w:hAnsiTheme="minorHAnsi"/>
          <w:sz w:val="22"/>
        </w:rPr>
        <w:t>well</w:t>
      </w:r>
      <w:r w:rsidR="00EA17A7" w:rsidRPr="005F2BD1">
        <w:rPr>
          <w:rFonts w:asciiTheme="minorHAnsi" w:hAnsiTheme="minorHAnsi"/>
          <w:sz w:val="22"/>
        </w:rPr>
        <w:t xml:space="preserve"> </w:t>
      </w:r>
      <w:r w:rsidR="008333DA" w:rsidRPr="005F2BD1">
        <w:rPr>
          <w:rFonts w:asciiTheme="minorHAnsi" w:hAnsiTheme="minorHAnsi"/>
          <w:sz w:val="22"/>
        </w:rPr>
        <w:t xml:space="preserve">as the </w:t>
      </w:r>
      <w:r>
        <w:rPr>
          <w:rFonts w:asciiTheme="minorHAnsi" w:hAnsiTheme="minorHAnsi"/>
          <w:sz w:val="22"/>
        </w:rPr>
        <w:t>reasons</w:t>
      </w:r>
      <w:r w:rsidR="008333DA" w:rsidRPr="005F2BD1">
        <w:rPr>
          <w:rFonts w:asciiTheme="minorHAnsi" w:hAnsiTheme="minorHAnsi"/>
          <w:sz w:val="22"/>
        </w:rPr>
        <w:t xml:space="preserve"> why the practice fails to comply with </w:t>
      </w:r>
      <w:r>
        <w:rPr>
          <w:rFonts w:asciiTheme="minorHAnsi" w:hAnsiTheme="minorHAnsi"/>
          <w:sz w:val="22"/>
        </w:rPr>
        <w:t>other indicators</w:t>
      </w:r>
      <w:r w:rsidR="00EA17A7">
        <w:rPr>
          <w:rFonts w:asciiTheme="minorHAnsi" w:hAnsiTheme="minorHAnsi"/>
          <w:sz w:val="22"/>
        </w:rPr>
        <w:t>, would</w:t>
      </w:r>
      <w:r w:rsidR="00EA17A7" w:rsidRPr="00EA17A7">
        <w:rPr>
          <w:rFonts w:asciiTheme="minorHAnsi" w:hAnsiTheme="minorHAnsi"/>
          <w:sz w:val="22"/>
        </w:rPr>
        <w:t xml:space="preserve"> </w:t>
      </w:r>
      <w:r w:rsidR="00EA17A7" w:rsidRPr="005F2BD1">
        <w:rPr>
          <w:rFonts w:asciiTheme="minorHAnsi" w:hAnsiTheme="minorHAnsi"/>
          <w:sz w:val="22"/>
        </w:rPr>
        <w:t>con</w:t>
      </w:r>
      <w:r w:rsidR="008B65C7">
        <w:rPr>
          <w:rFonts w:asciiTheme="minorHAnsi" w:hAnsiTheme="minorHAnsi"/>
          <w:sz w:val="22"/>
        </w:rPr>
        <w:t>tribute to the learning process</w:t>
      </w:r>
      <w:r w:rsidR="00EF0ADB" w:rsidRPr="005F2BD1">
        <w:rPr>
          <w:rFonts w:asciiTheme="minorHAnsi" w:hAnsiTheme="minorHAnsi"/>
          <w:sz w:val="22"/>
        </w:rPr>
        <w:t>.</w:t>
      </w:r>
    </w:p>
    <w:p w14:paraId="09288380" w14:textId="523844A8" w:rsidR="000245BC" w:rsidRPr="005F2BD1" w:rsidRDefault="003D13BE" w:rsidP="00A50596">
      <w:pPr>
        <w:spacing w:after="60"/>
        <w:jc w:val="both"/>
        <w:rPr>
          <w:rFonts w:asciiTheme="minorHAnsi" w:hAnsiTheme="minorHAnsi"/>
          <w:sz w:val="22"/>
        </w:rPr>
      </w:pPr>
      <w:r w:rsidRPr="005F2BD1">
        <w:rPr>
          <w:rFonts w:asciiTheme="minorHAnsi" w:hAnsiTheme="minorHAnsi"/>
          <w:b/>
          <w:bCs/>
          <w:i/>
          <w:iCs/>
          <w:color w:val="244061" w:themeColor="accent1" w:themeShade="80"/>
          <w:sz w:val="22"/>
        </w:rPr>
        <w:t xml:space="preserve">Who can </w:t>
      </w:r>
      <w:r w:rsidR="00440E25" w:rsidRPr="005F2BD1">
        <w:rPr>
          <w:rFonts w:asciiTheme="minorHAnsi" w:hAnsiTheme="minorHAnsi"/>
          <w:b/>
          <w:bCs/>
          <w:i/>
          <w:iCs/>
          <w:color w:val="244061" w:themeColor="accent1" w:themeShade="80"/>
          <w:sz w:val="22"/>
        </w:rPr>
        <w:t>apply?</w:t>
      </w:r>
      <w:r w:rsidR="00226729">
        <w:rPr>
          <w:rFonts w:asciiTheme="minorHAnsi" w:hAnsiTheme="minorHAnsi"/>
          <w:b/>
          <w:bCs/>
          <w:i/>
          <w:iCs/>
          <w:color w:val="244061" w:themeColor="accent1" w:themeShade="80"/>
          <w:sz w:val="22"/>
        </w:rPr>
        <w:t xml:space="preserve"> </w:t>
      </w:r>
      <w:r w:rsidR="00836303" w:rsidRPr="005F2BD1">
        <w:rPr>
          <w:rFonts w:asciiTheme="minorHAnsi" w:hAnsiTheme="minorHAnsi"/>
          <w:sz w:val="22"/>
        </w:rPr>
        <w:t>T</w:t>
      </w:r>
      <w:r w:rsidR="00B6262E" w:rsidRPr="005F2BD1">
        <w:rPr>
          <w:rFonts w:asciiTheme="minorHAnsi" w:hAnsiTheme="minorHAnsi"/>
          <w:sz w:val="22"/>
        </w:rPr>
        <w:t>he</w:t>
      </w:r>
      <w:r w:rsidR="00A7595B" w:rsidRPr="005F2BD1">
        <w:rPr>
          <w:rFonts w:asciiTheme="minorHAnsi" w:hAnsiTheme="minorHAnsi"/>
          <w:sz w:val="22"/>
        </w:rPr>
        <w:t xml:space="preserve"> call </w:t>
      </w:r>
      <w:r w:rsidR="00185642" w:rsidRPr="005F2BD1">
        <w:rPr>
          <w:rFonts w:asciiTheme="minorHAnsi" w:hAnsiTheme="minorHAnsi"/>
          <w:sz w:val="22"/>
        </w:rPr>
        <w:t xml:space="preserve">is opened to </w:t>
      </w:r>
      <w:r w:rsidR="00151D9E" w:rsidRPr="005F2BD1">
        <w:rPr>
          <w:rFonts w:asciiTheme="minorHAnsi" w:hAnsiTheme="minorHAnsi"/>
          <w:sz w:val="22"/>
        </w:rPr>
        <w:t>FAO technical units</w:t>
      </w:r>
      <w:r w:rsidR="00A50596">
        <w:rPr>
          <w:rFonts w:asciiTheme="minorHAnsi" w:hAnsiTheme="minorHAnsi"/>
          <w:sz w:val="22"/>
        </w:rPr>
        <w:t>,</w:t>
      </w:r>
      <w:r w:rsidR="00151D9E" w:rsidRPr="005F2BD1">
        <w:rPr>
          <w:rFonts w:asciiTheme="minorHAnsi" w:hAnsiTheme="minorHAnsi"/>
          <w:sz w:val="22"/>
        </w:rPr>
        <w:t xml:space="preserve"> </w:t>
      </w:r>
      <w:r w:rsidR="00DA6F9B" w:rsidRPr="005F2BD1">
        <w:rPr>
          <w:rFonts w:asciiTheme="minorHAnsi" w:hAnsiTheme="minorHAnsi"/>
          <w:sz w:val="22"/>
        </w:rPr>
        <w:t xml:space="preserve">Decentralised </w:t>
      </w:r>
      <w:r w:rsidR="00151D9E" w:rsidRPr="005F2BD1">
        <w:rPr>
          <w:rFonts w:asciiTheme="minorHAnsi" w:hAnsiTheme="minorHAnsi"/>
          <w:sz w:val="22"/>
        </w:rPr>
        <w:t>Offices</w:t>
      </w:r>
      <w:r w:rsidR="00A50596">
        <w:rPr>
          <w:rFonts w:asciiTheme="minorHAnsi" w:hAnsiTheme="minorHAnsi"/>
          <w:sz w:val="22"/>
        </w:rPr>
        <w:t xml:space="preserve"> and development partners</w:t>
      </w:r>
      <w:r w:rsidR="00151D9E" w:rsidRPr="005F2BD1">
        <w:rPr>
          <w:rFonts w:asciiTheme="minorHAnsi" w:hAnsiTheme="minorHAnsi"/>
          <w:sz w:val="22"/>
        </w:rPr>
        <w:t xml:space="preserve">. </w:t>
      </w:r>
      <w:r w:rsidR="00A50596" w:rsidRPr="005F2BD1">
        <w:rPr>
          <w:rFonts w:asciiTheme="minorHAnsi" w:hAnsiTheme="minorHAnsi"/>
          <w:sz w:val="22"/>
        </w:rPr>
        <w:t xml:space="preserve">Development partners can be: ROs, other international agencies (e.g. WFP, UNICEF, IFAD, ILO, WB, EU, and UNRISD), NGOs, charities, governmental agencies, local administrations and other relevant stakeholders. </w:t>
      </w:r>
      <w:r w:rsidR="005B14D1" w:rsidRPr="005F2BD1">
        <w:rPr>
          <w:rFonts w:asciiTheme="minorHAnsi" w:hAnsiTheme="minorHAnsi"/>
          <w:sz w:val="22"/>
        </w:rPr>
        <w:t xml:space="preserve">You </w:t>
      </w:r>
      <w:r w:rsidR="0082562D" w:rsidRPr="005F2BD1">
        <w:rPr>
          <w:rFonts w:asciiTheme="minorHAnsi" w:hAnsiTheme="minorHAnsi"/>
          <w:sz w:val="22"/>
        </w:rPr>
        <w:t xml:space="preserve">are </w:t>
      </w:r>
      <w:r w:rsidR="005B14D1" w:rsidRPr="005F2BD1">
        <w:rPr>
          <w:rFonts w:asciiTheme="minorHAnsi" w:hAnsiTheme="minorHAnsi"/>
          <w:sz w:val="22"/>
        </w:rPr>
        <w:t xml:space="preserve">also kindly invited to flag any other experiences that you deem relevant for this study, that are carried out by your partners and other local organisations. </w:t>
      </w:r>
      <w:bookmarkStart w:id="0" w:name="_GoBack"/>
      <w:bookmarkEnd w:id="0"/>
    </w:p>
    <w:p w14:paraId="72498B68" w14:textId="77777777" w:rsidR="00CB0A8E" w:rsidRPr="005F2BD1" w:rsidRDefault="00FB199E" w:rsidP="00B6262E">
      <w:pPr>
        <w:spacing w:after="60"/>
        <w:jc w:val="both"/>
        <w:rPr>
          <w:rFonts w:asciiTheme="minorHAnsi" w:hAnsiTheme="minorHAnsi"/>
          <w:sz w:val="22"/>
        </w:rPr>
      </w:pPr>
      <w:r w:rsidRPr="005F2BD1">
        <w:rPr>
          <w:rFonts w:asciiTheme="minorHAnsi" w:hAnsiTheme="minorHAnsi"/>
          <w:sz w:val="22"/>
        </w:rPr>
        <w:t xml:space="preserve">Good practices can be </w:t>
      </w:r>
      <w:r w:rsidR="00FD1D05" w:rsidRPr="005F2BD1">
        <w:rPr>
          <w:rFonts w:asciiTheme="minorHAnsi" w:hAnsiTheme="minorHAnsi"/>
          <w:sz w:val="22"/>
        </w:rPr>
        <w:t xml:space="preserve">submitted in English, French, </w:t>
      </w:r>
      <w:r w:rsidR="00B6262E" w:rsidRPr="005F2BD1">
        <w:rPr>
          <w:rFonts w:asciiTheme="minorHAnsi" w:hAnsiTheme="minorHAnsi"/>
          <w:sz w:val="22"/>
        </w:rPr>
        <w:t xml:space="preserve">and </w:t>
      </w:r>
      <w:r w:rsidRPr="005F2BD1">
        <w:rPr>
          <w:rFonts w:asciiTheme="minorHAnsi" w:hAnsiTheme="minorHAnsi"/>
          <w:sz w:val="22"/>
        </w:rPr>
        <w:t>Spanish</w:t>
      </w:r>
      <w:r w:rsidR="00FD1D05" w:rsidRPr="005F2BD1">
        <w:rPr>
          <w:rFonts w:asciiTheme="minorHAnsi" w:hAnsiTheme="minorHAnsi"/>
          <w:sz w:val="22"/>
        </w:rPr>
        <w:t>.</w:t>
      </w:r>
    </w:p>
    <w:p w14:paraId="7B95C1B3" w14:textId="77777777" w:rsidR="00EA17A7" w:rsidRDefault="00EA17A7" w:rsidP="00C91EED">
      <w:pPr>
        <w:spacing w:after="60"/>
        <w:jc w:val="both"/>
        <w:rPr>
          <w:rFonts w:asciiTheme="minorHAnsi" w:hAnsiTheme="minorHAnsi"/>
          <w:sz w:val="22"/>
        </w:rPr>
      </w:pPr>
    </w:p>
    <w:p w14:paraId="0A7600AE" w14:textId="044B6029" w:rsidR="00C91EED" w:rsidRPr="007A63C9" w:rsidRDefault="00C91EED" w:rsidP="00E45A3E">
      <w:pPr>
        <w:spacing w:after="60"/>
        <w:jc w:val="both"/>
        <w:rPr>
          <w:rFonts w:asciiTheme="minorHAnsi" w:hAnsiTheme="minorHAnsi"/>
          <w:b/>
          <w:bCs/>
          <w:sz w:val="22"/>
        </w:rPr>
      </w:pPr>
      <w:r w:rsidRPr="007A63C9">
        <w:rPr>
          <w:rFonts w:asciiTheme="minorHAnsi" w:hAnsiTheme="minorHAnsi"/>
          <w:b/>
          <w:bCs/>
          <w:sz w:val="22"/>
        </w:rPr>
        <w:t xml:space="preserve">NB: </w:t>
      </w:r>
      <w:r w:rsidR="00E45A3E" w:rsidRPr="00E45A3E">
        <w:rPr>
          <w:rFonts w:asciiTheme="minorHAnsi" w:hAnsiTheme="minorHAnsi"/>
          <w:b/>
          <w:bCs/>
          <w:sz w:val="22"/>
        </w:rPr>
        <w:t xml:space="preserve">Please use separate sheets </w:t>
      </w:r>
      <w:r w:rsidR="00E45A3E">
        <w:rPr>
          <w:rFonts w:asciiTheme="minorHAnsi" w:hAnsiTheme="minorHAnsi"/>
          <w:b/>
          <w:bCs/>
          <w:sz w:val="22"/>
        </w:rPr>
        <w:t xml:space="preserve">(Annex A or B) </w:t>
      </w:r>
      <w:r w:rsidR="00E45A3E" w:rsidRPr="00E45A3E">
        <w:rPr>
          <w:rFonts w:asciiTheme="minorHAnsi" w:hAnsiTheme="minorHAnsi"/>
          <w:b/>
          <w:bCs/>
          <w:sz w:val="22"/>
        </w:rPr>
        <w:t xml:space="preserve">if you </w:t>
      </w:r>
      <w:r w:rsidRPr="007A63C9">
        <w:rPr>
          <w:rFonts w:asciiTheme="minorHAnsi" w:hAnsiTheme="minorHAnsi"/>
          <w:b/>
          <w:bCs/>
          <w:sz w:val="22"/>
        </w:rPr>
        <w:t xml:space="preserve">wish to describe more </w:t>
      </w:r>
      <w:r w:rsidR="00E45A3E" w:rsidRPr="007A63C9">
        <w:rPr>
          <w:rFonts w:asciiTheme="minorHAnsi" w:hAnsiTheme="minorHAnsi"/>
          <w:b/>
          <w:bCs/>
          <w:sz w:val="22"/>
        </w:rPr>
        <w:t xml:space="preserve">than one </w:t>
      </w:r>
      <w:r w:rsidRPr="007A63C9">
        <w:rPr>
          <w:rFonts w:asciiTheme="minorHAnsi" w:hAnsiTheme="minorHAnsi"/>
          <w:b/>
          <w:bCs/>
          <w:sz w:val="22"/>
        </w:rPr>
        <w:t>collective practice of SP or participatory mechanisms.</w:t>
      </w:r>
    </w:p>
    <w:p w14:paraId="6C04DC43" w14:textId="77777777" w:rsidR="00CB0A8E" w:rsidRPr="005F2BD1" w:rsidRDefault="00CB0A8E" w:rsidP="0067537A">
      <w:pPr>
        <w:spacing w:after="60"/>
        <w:jc w:val="both"/>
        <w:rPr>
          <w:rFonts w:asciiTheme="minorHAnsi" w:hAnsiTheme="minorHAnsi"/>
          <w:sz w:val="22"/>
        </w:rPr>
      </w:pPr>
    </w:p>
    <w:p w14:paraId="666E972C" w14:textId="0D551099" w:rsidR="0067537A" w:rsidRPr="00226729" w:rsidRDefault="0067537A" w:rsidP="00226729">
      <w:pPr>
        <w:rPr>
          <w:rFonts w:asciiTheme="minorHAnsi" w:hAnsiTheme="minorHAnsi"/>
          <w:b/>
          <w:bCs/>
          <w:color w:val="244061" w:themeColor="accent1" w:themeShade="80"/>
          <w:sz w:val="22"/>
        </w:rPr>
      </w:pPr>
    </w:p>
    <w:sectPr w:rsidR="0067537A" w:rsidRPr="00226729" w:rsidSect="009C087B">
      <w:headerReference w:type="default" r:id="rId11"/>
      <w:footerReference w:type="default" r:id="rId12"/>
      <w:pgSz w:w="11907" w:h="16840"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8248C9" w14:textId="77777777" w:rsidR="009828DE" w:rsidRDefault="009828DE" w:rsidP="006E0872">
      <w:pPr>
        <w:spacing w:after="0" w:line="240" w:lineRule="auto"/>
      </w:pPr>
      <w:r>
        <w:separator/>
      </w:r>
    </w:p>
  </w:endnote>
  <w:endnote w:type="continuationSeparator" w:id="0">
    <w:p w14:paraId="408DC3C6" w14:textId="77777777" w:rsidR="009828DE" w:rsidRDefault="009828DE" w:rsidP="006E0872">
      <w:pPr>
        <w:spacing w:after="0" w:line="240" w:lineRule="auto"/>
      </w:pPr>
      <w:r>
        <w:continuationSeparator/>
      </w:r>
    </w:p>
  </w:endnote>
  <w:endnote w:type="continuationNotice" w:id="1">
    <w:p w14:paraId="1F82D906" w14:textId="77777777" w:rsidR="009828DE" w:rsidRDefault="009828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F87DF" w14:textId="77777777" w:rsidR="0080688F" w:rsidRDefault="008068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7D6D9A" w14:textId="77777777" w:rsidR="009828DE" w:rsidRDefault="009828DE" w:rsidP="006E0872">
      <w:pPr>
        <w:spacing w:after="0" w:line="240" w:lineRule="auto"/>
      </w:pPr>
      <w:r>
        <w:separator/>
      </w:r>
    </w:p>
  </w:footnote>
  <w:footnote w:type="continuationSeparator" w:id="0">
    <w:p w14:paraId="4558F0BA" w14:textId="77777777" w:rsidR="009828DE" w:rsidRDefault="009828DE" w:rsidP="006E0872">
      <w:pPr>
        <w:spacing w:after="0" w:line="240" w:lineRule="auto"/>
      </w:pPr>
      <w:r>
        <w:continuationSeparator/>
      </w:r>
    </w:p>
  </w:footnote>
  <w:footnote w:type="continuationNotice" w:id="1">
    <w:p w14:paraId="2FF7D79A" w14:textId="77777777" w:rsidR="009828DE" w:rsidRDefault="009828DE">
      <w:pPr>
        <w:spacing w:after="0" w:line="240" w:lineRule="auto"/>
      </w:pPr>
    </w:p>
  </w:footnote>
  <w:footnote w:id="2">
    <w:p w14:paraId="464994C7" w14:textId="77777777" w:rsidR="0080688F" w:rsidRPr="001922B4" w:rsidRDefault="0080688F" w:rsidP="001922B4">
      <w:pPr>
        <w:pStyle w:val="EndnoteText"/>
        <w:rPr>
          <w:rFonts w:asciiTheme="minorHAnsi" w:hAnsiTheme="minorHAnsi"/>
          <w:sz w:val="18"/>
          <w:szCs w:val="18"/>
        </w:rPr>
      </w:pPr>
      <w:r w:rsidRPr="001922B4">
        <w:rPr>
          <w:rStyle w:val="FootnoteReference"/>
          <w:rFonts w:asciiTheme="minorHAnsi" w:hAnsiTheme="minorHAnsi"/>
          <w:sz w:val="18"/>
          <w:szCs w:val="18"/>
        </w:rPr>
        <w:footnoteRef/>
      </w:r>
      <w:r w:rsidRPr="001922B4">
        <w:rPr>
          <w:rFonts w:asciiTheme="minorHAnsi" w:hAnsiTheme="minorHAnsi"/>
          <w:sz w:val="18"/>
          <w:szCs w:val="18"/>
        </w:rPr>
        <w:t xml:space="preserve"> </w:t>
      </w:r>
      <w:proofErr w:type="gramStart"/>
      <w:r w:rsidRPr="001922B4">
        <w:rPr>
          <w:rFonts w:asciiTheme="minorHAnsi" w:hAnsiTheme="minorHAnsi"/>
          <w:sz w:val="18"/>
          <w:szCs w:val="18"/>
        </w:rPr>
        <w:t>HLPE, 2012.</w:t>
      </w:r>
      <w:proofErr w:type="gramEnd"/>
      <w:r w:rsidRPr="001922B4">
        <w:rPr>
          <w:rFonts w:asciiTheme="minorHAnsi" w:hAnsiTheme="minorHAnsi"/>
          <w:sz w:val="18"/>
          <w:szCs w:val="18"/>
        </w:rPr>
        <w:t xml:space="preserve"> </w:t>
      </w:r>
      <w:proofErr w:type="gramStart"/>
      <w:r w:rsidRPr="001922B4">
        <w:rPr>
          <w:rFonts w:asciiTheme="minorHAnsi" w:hAnsiTheme="minorHAnsi"/>
          <w:i/>
          <w:sz w:val="18"/>
          <w:szCs w:val="18"/>
        </w:rPr>
        <w:t>Social protection for food security.</w:t>
      </w:r>
      <w:proofErr w:type="gramEnd"/>
      <w:r w:rsidRPr="001922B4">
        <w:rPr>
          <w:rFonts w:asciiTheme="minorHAnsi" w:hAnsiTheme="minorHAnsi"/>
          <w:i/>
          <w:sz w:val="18"/>
          <w:szCs w:val="18"/>
        </w:rPr>
        <w:t xml:space="preserve"> </w:t>
      </w:r>
      <w:proofErr w:type="gramStart"/>
      <w:r w:rsidRPr="001922B4">
        <w:rPr>
          <w:rFonts w:asciiTheme="minorHAnsi" w:hAnsiTheme="minorHAnsi"/>
          <w:i/>
          <w:sz w:val="18"/>
          <w:szCs w:val="18"/>
        </w:rPr>
        <w:t>A report by the High Level Panel of Experts on Food Security and Nutrition of the Committee on World Food Security</w:t>
      </w:r>
      <w:r w:rsidRPr="001922B4">
        <w:rPr>
          <w:rFonts w:asciiTheme="minorHAnsi" w:hAnsiTheme="minorHAnsi"/>
          <w:sz w:val="18"/>
          <w:szCs w:val="18"/>
        </w:rPr>
        <w:t>.</w:t>
      </w:r>
      <w:proofErr w:type="gramEnd"/>
      <w:r w:rsidRPr="001922B4">
        <w:rPr>
          <w:rFonts w:asciiTheme="minorHAnsi" w:hAnsiTheme="minorHAnsi"/>
          <w:sz w:val="18"/>
          <w:szCs w:val="18"/>
        </w:rPr>
        <w:t xml:space="preserve"> Rome: HLPE.</w:t>
      </w:r>
    </w:p>
  </w:footnote>
  <w:footnote w:id="3">
    <w:p w14:paraId="0FDD5DB4" w14:textId="77777777" w:rsidR="0080688F" w:rsidRPr="00CA2C8D" w:rsidRDefault="0080688F" w:rsidP="00741CC4">
      <w:pPr>
        <w:pStyle w:val="EndnoteText"/>
        <w:rPr>
          <w:lang w:val="en-US"/>
        </w:rPr>
      </w:pPr>
      <w:r w:rsidRPr="00937BA6">
        <w:rPr>
          <w:rFonts w:asciiTheme="minorHAnsi" w:hAnsiTheme="minorHAnsi"/>
          <w:sz w:val="18"/>
          <w:szCs w:val="18"/>
          <w:vertAlign w:val="superscript"/>
        </w:rPr>
        <w:footnoteRef/>
      </w:r>
      <w:r w:rsidRPr="00937BA6">
        <w:rPr>
          <w:rFonts w:asciiTheme="minorHAnsi" w:hAnsiTheme="minorHAnsi"/>
          <w:sz w:val="18"/>
          <w:szCs w:val="18"/>
        </w:rPr>
        <w:t xml:space="preserve"> </w:t>
      </w:r>
      <w:proofErr w:type="gramStart"/>
      <w:r w:rsidR="00937BA6" w:rsidRPr="00937BA6">
        <w:rPr>
          <w:rFonts w:asciiTheme="minorHAnsi" w:hAnsiTheme="minorHAnsi"/>
          <w:sz w:val="18"/>
          <w:szCs w:val="18"/>
        </w:rPr>
        <w:t>ILO’s Conventions No. 102 and 128.</w:t>
      </w:r>
      <w:proofErr w:type="gramEnd"/>
    </w:p>
  </w:footnote>
  <w:footnote w:id="4">
    <w:p w14:paraId="3A6079D7" w14:textId="77777777" w:rsidR="0080688F" w:rsidRPr="00012905" w:rsidRDefault="0080688F">
      <w:pPr>
        <w:pStyle w:val="FootnoteText"/>
        <w:rPr>
          <w:rFonts w:asciiTheme="minorHAnsi" w:hAnsiTheme="minorHAnsi"/>
          <w:color w:val="FF0000"/>
          <w:sz w:val="18"/>
          <w:szCs w:val="18"/>
        </w:rPr>
      </w:pPr>
      <w:r w:rsidRPr="00937BA6">
        <w:rPr>
          <w:rStyle w:val="FootnoteReference"/>
          <w:rFonts w:asciiTheme="minorHAnsi" w:hAnsiTheme="minorHAnsi"/>
          <w:sz w:val="18"/>
          <w:szCs w:val="18"/>
        </w:rPr>
        <w:footnoteRef/>
      </w:r>
      <w:r w:rsidRPr="00937BA6">
        <w:rPr>
          <w:rFonts w:asciiTheme="minorHAnsi" w:hAnsiTheme="minorHAnsi"/>
          <w:sz w:val="18"/>
          <w:szCs w:val="18"/>
        </w:rPr>
        <w:t xml:space="preserve"> </w:t>
      </w:r>
      <w:proofErr w:type="gramStart"/>
      <w:r w:rsidR="00937BA6" w:rsidRPr="00CA2C8D">
        <w:rPr>
          <w:rFonts w:asciiTheme="minorHAnsi" w:hAnsiTheme="minorHAnsi"/>
          <w:sz w:val="18"/>
          <w:szCs w:val="18"/>
          <w:lang w:val="en-US"/>
        </w:rPr>
        <w:t>FAO, 2013b.</w:t>
      </w:r>
      <w:proofErr w:type="gramEnd"/>
      <w:r w:rsidR="00937BA6" w:rsidRPr="00CA2C8D">
        <w:rPr>
          <w:rFonts w:asciiTheme="minorHAnsi" w:hAnsiTheme="minorHAnsi"/>
          <w:sz w:val="18"/>
          <w:szCs w:val="18"/>
          <w:lang w:val="en-US"/>
        </w:rPr>
        <w:t xml:space="preserve"> </w:t>
      </w:r>
      <w:proofErr w:type="gramStart"/>
      <w:r w:rsidR="00937BA6" w:rsidRPr="00CA2C8D">
        <w:rPr>
          <w:rFonts w:asciiTheme="minorHAnsi" w:hAnsiTheme="minorHAnsi"/>
          <w:sz w:val="18"/>
          <w:szCs w:val="18"/>
          <w:lang w:val="en-US"/>
        </w:rPr>
        <w:t>FAO’s Work in Social Protection.</w:t>
      </w:r>
      <w:proofErr w:type="gramEnd"/>
      <w:r w:rsidR="00937BA6" w:rsidRPr="00CA2C8D">
        <w:rPr>
          <w:rFonts w:asciiTheme="minorHAnsi" w:hAnsiTheme="minorHAnsi"/>
          <w:sz w:val="18"/>
          <w:szCs w:val="18"/>
          <w:lang w:val="en-US"/>
        </w:rPr>
        <w:t xml:space="preserve"> Note endorsed by the 148th Session of the FAO Council (2-6 December 2013). </w:t>
      </w:r>
      <w:r w:rsidR="00937BA6" w:rsidRPr="00012905">
        <w:rPr>
          <w:rFonts w:asciiTheme="minorHAnsi" w:hAnsiTheme="minorHAnsi"/>
          <w:sz w:val="18"/>
          <w:szCs w:val="18"/>
        </w:rPr>
        <w:t>Rome: FAO.</w:t>
      </w:r>
    </w:p>
  </w:footnote>
  <w:footnote w:id="5">
    <w:p w14:paraId="0EF9DA43" w14:textId="77777777" w:rsidR="00012905" w:rsidRPr="00CA2C8D" w:rsidRDefault="00012905" w:rsidP="00012905">
      <w:pPr>
        <w:pStyle w:val="FootnoteText"/>
        <w:rPr>
          <w:lang w:val="en-US"/>
        </w:rPr>
      </w:pPr>
      <w:r>
        <w:rPr>
          <w:rStyle w:val="FootnoteReference"/>
        </w:rPr>
        <w:footnoteRef/>
      </w:r>
      <w:r>
        <w:t xml:space="preserve"> </w:t>
      </w:r>
      <w:proofErr w:type="gramStart"/>
      <w:r w:rsidRPr="005B14D1">
        <w:rPr>
          <w:rFonts w:asciiTheme="minorHAnsi" w:hAnsiTheme="minorHAnsi"/>
          <w:sz w:val="18"/>
          <w:szCs w:val="18"/>
        </w:rPr>
        <w:t>ICMIF, 2012.</w:t>
      </w:r>
      <w:proofErr w:type="gramEnd"/>
      <w:r w:rsidRPr="005B14D1">
        <w:rPr>
          <w:rFonts w:asciiTheme="minorHAnsi" w:hAnsiTheme="minorHAnsi"/>
          <w:sz w:val="18"/>
          <w:szCs w:val="18"/>
        </w:rPr>
        <w:t xml:space="preserve"> </w:t>
      </w:r>
      <w:proofErr w:type="gramStart"/>
      <w:r w:rsidRPr="005B14D1">
        <w:rPr>
          <w:rFonts w:asciiTheme="minorHAnsi" w:hAnsiTheme="minorHAnsi"/>
          <w:sz w:val="18"/>
          <w:szCs w:val="18"/>
        </w:rPr>
        <w:t>Sowing the seeds of mutual protection.</w:t>
      </w:r>
      <w:proofErr w:type="gramEnd"/>
      <w:r w:rsidRPr="005B14D1">
        <w:rPr>
          <w:rFonts w:asciiTheme="minorHAnsi" w:hAnsiTheme="minorHAnsi"/>
          <w:sz w:val="18"/>
          <w:szCs w:val="18"/>
        </w:rPr>
        <w:t xml:space="preserve"> </w:t>
      </w:r>
      <w:proofErr w:type="gramStart"/>
      <w:r w:rsidRPr="005B14D1">
        <w:rPr>
          <w:rFonts w:asciiTheme="minorHAnsi" w:hAnsiTheme="minorHAnsi"/>
          <w:i/>
          <w:sz w:val="18"/>
          <w:szCs w:val="18"/>
        </w:rPr>
        <w:t>The ICMIF development magazine</w:t>
      </w:r>
      <w:r w:rsidRPr="005B14D1">
        <w:rPr>
          <w:rFonts w:asciiTheme="minorHAnsi" w:hAnsiTheme="minorHAnsi"/>
          <w:sz w:val="18"/>
          <w:szCs w:val="18"/>
        </w:rPr>
        <w:t>, 10, p.1-38.</w:t>
      </w:r>
      <w:proofErr w:type="gramEnd"/>
    </w:p>
  </w:footnote>
  <w:footnote w:id="6">
    <w:p w14:paraId="7DCBEA61" w14:textId="77777777" w:rsidR="0080688F" w:rsidRPr="00937BA6" w:rsidRDefault="0080688F">
      <w:pPr>
        <w:pStyle w:val="FootnoteText"/>
        <w:rPr>
          <w:rFonts w:asciiTheme="minorHAnsi" w:hAnsiTheme="minorHAnsi"/>
          <w:sz w:val="18"/>
          <w:szCs w:val="18"/>
        </w:rPr>
      </w:pPr>
      <w:r w:rsidRPr="00937BA6">
        <w:rPr>
          <w:rStyle w:val="FootnoteReference"/>
          <w:rFonts w:asciiTheme="minorHAnsi" w:hAnsiTheme="minorHAnsi"/>
          <w:sz w:val="18"/>
          <w:szCs w:val="18"/>
        </w:rPr>
        <w:footnoteRef/>
      </w:r>
      <w:r w:rsidRPr="00937BA6">
        <w:rPr>
          <w:rFonts w:asciiTheme="minorHAnsi" w:hAnsiTheme="minorHAnsi"/>
          <w:sz w:val="18"/>
          <w:szCs w:val="18"/>
        </w:rPr>
        <w:t xml:space="preserve"> For more information see: </w:t>
      </w:r>
      <w:proofErr w:type="spellStart"/>
      <w:r w:rsidRPr="00937BA6">
        <w:rPr>
          <w:rFonts w:asciiTheme="minorHAnsi" w:hAnsiTheme="minorHAnsi"/>
          <w:sz w:val="18"/>
          <w:szCs w:val="18"/>
        </w:rPr>
        <w:t>i</w:t>
      </w:r>
      <w:proofErr w:type="spellEnd"/>
      <w:r w:rsidRPr="00937BA6">
        <w:rPr>
          <w:rFonts w:asciiTheme="minorHAnsi" w:hAnsiTheme="minorHAnsi"/>
          <w:sz w:val="18"/>
          <w:szCs w:val="18"/>
        </w:rPr>
        <w:t xml:space="preserve">) </w:t>
      </w:r>
      <w:r w:rsidR="00937BA6" w:rsidRPr="00937BA6">
        <w:rPr>
          <w:rFonts w:asciiTheme="minorHAnsi" w:hAnsiTheme="minorHAnsi"/>
          <w:sz w:val="18"/>
          <w:szCs w:val="18"/>
        </w:rPr>
        <w:t xml:space="preserve">Vinci, I. et al, 2014. </w:t>
      </w:r>
      <w:proofErr w:type="gramStart"/>
      <w:r w:rsidR="00937BA6" w:rsidRPr="00937BA6">
        <w:rPr>
          <w:rFonts w:asciiTheme="minorHAnsi" w:hAnsiTheme="minorHAnsi"/>
          <w:sz w:val="18"/>
          <w:szCs w:val="18"/>
        </w:rPr>
        <w:t>Local solutions to social protection - The role of rural organisations.</w:t>
      </w:r>
      <w:proofErr w:type="gramEnd"/>
      <w:r w:rsidR="00937BA6" w:rsidRPr="00937BA6">
        <w:rPr>
          <w:rFonts w:asciiTheme="minorHAnsi" w:hAnsiTheme="minorHAnsi"/>
          <w:sz w:val="18"/>
          <w:szCs w:val="18"/>
        </w:rPr>
        <w:t xml:space="preserve"> </w:t>
      </w:r>
      <w:proofErr w:type="spellStart"/>
      <w:r w:rsidR="00937BA6" w:rsidRPr="00937BA6">
        <w:rPr>
          <w:rFonts w:asciiTheme="minorHAnsi" w:hAnsiTheme="minorHAnsi"/>
          <w:sz w:val="18"/>
          <w:szCs w:val="18"/>
        </w:rPr>
        <w:t>Universitas</w:t>
      </w:r>
      <w:proofErr w:type="spellEnd"/>
      <w:r w:rsidR="00937BA6" w:rsidRPr="00937BA6">
        <w:rPr>
          <w:rFonts w:asciiTheme="minorHAnsi" w:hAnsiTheme="minorHAnsi"/>
          <w:sz w:val="18"/>
          <w:szCs w:val="18"/>
        </w:rPr>
        <w:t xml:space="preserve"> Forum, 4 (1)</w:t>
      </w:r>
      <w:proofErr w:type="gramStart"/>
      <w:r w:rsidR="00937BA6" w:rsidRPr="00937BA6">
        <w:rPr>
          <w:rFonts w:asciiTheme="minorHAnsi" w:hAnsiTheme="minorHAnsi"/>
          <w:sz w:val="18"/>
          <w:szCs w:val="18"/>
        </w:rPr>
        <w:t>.</w:t>
      </w:r>
      <w:r w:rsidRPr="00937BA6">
        <w:rPr>
          <w:rFonts w:asciiTheme="minorHAnsi" w:hAnsiTheme="minorHAnsi"/>
          <w:sz w:val="18"/>
          <w:szCs w:val="18"/>
        </w:rPr>
        <w:t>;</w:t>
      </w:r>
      <w:proofErr w:type="gramEnd"/>
      <w:r w:rsidRPr="00937BA6">
        <w:rPr>
          <w:rFonts w:asciiTheme="minorHAnsi" w:hAnsiTheme="minorHAnsi"/>
          <w:sz w:val="18"/>
          <w:szCs w:val="18"/>
        </w:rPr>
        <w:t xml:space="preserve"> and ii) Bernier, Q. &amp; </w:t>
      </w:r>
      <w:proofErr w:type="spellStart"/>
      <w:r w:rsidRPr="00937BA6">
        <w:rPr>
          <w:rFonts w:asciiTheme="minorHAnsi" w:hAnsiTheme="minorHAnsi"/>
          <w:sz w:val="18"/>
          <w:szCs w:val="18"/>
        </w:rPr>
        <w:t>Meinzen</w:t>
      </w:r>
      <w:proofErr w:type="spellEnd"/>
      <w:r w:rsidRPr="00937BA6">
        <w:rPr>
          <w:rFonts w:asciiTheme="minorHAnsi" w:hAnsiTheme="minorHAnsi"/>
          <w:sz w:val="18"/>
          <w:szCs w:val="18"/>
        </w:rPr>
        <w:t xml:space="preserve">-Dick, R., 2014. </w:t>
      </w:r>
      <w:proofErr w:type="gramStart"/>
      <w:r w:rsidRPr="00937BA6">
        <w:rPr>
          <w:rFonts w:asciiTheme="minorHAnsi" w:hAnsiTheme="minorHAnsi"/>
          <w:sz w:val="18"/>
          <w:szCs w:val="18"/>
        </w:rPr>
        <w:t>Networks for Resilience - The Role of Social Capital.</w:t>
      </w:r>
      <w:proofErr w:type="gramEnd"/>
      <w:r w:rsidRPr="00937BA6">
        <w:rPr>
          <w:rFonts w:asciiTheme="minorHAnsi" w:hAnsiTheme="minorHAnsi"/>
          <w:sz w:val="18"/>
          <w:szCs w:val="18"/>
        </w:rPr>
        <w:t xml:space="preserve"> Washington: IFPRI. </w:t>
      </w:r>
      <w:proofErr w:type="gramStart"/>
      <w:r w:rsidRPr="00937BA6">
        <w:rPr>
          <w:rFonts w:asciiTheme="minorHAnsi" w:hAnsiTheme="minorHAnsi"/>
          <w:sz w:val="18"/>
          <w:szCs w:val="18"/>
        </w:rPr>
        <w:t xml:space="preserve">(Bernier &amp; </w:t>
      </w:r>
      <w:proofErr w:type="spellStart"/>
      <w:r w:rsidRPr="00937BA6">
        <w:rPr>
          <w:rFonts w:asciiTheme="minorHAnsi" w:hAnsiTheme="minorHAnsi"/>
          <w:sz w:val="18"/>
          <w:szCs w:val="18"/>
        </w:rPr>
        <w:t>Meinzen</w:t>
      </w:r>
      <w:proofErr w:type="spellEnd"/>
      <w:r w:rsidRPr="00937BA6">
        <w:rPr>
          <w:rFonts w:asciiTheme="minorHAnsi" w:hAnsiTheme="minorHAnsi"/>
          <w:sz w:val="18"/>
          <w:szCs w:val="18"/>
        </w:rPr>
        <w:t>-Dick, 2014).</w:t>
      </w:r>
      <w:proofErr w:type="gramEnd"/>
    </w:p>
  </w:footnote>
  <w:footnote w:id="7">
    <w:p w14:paraId="12EB93B0" w14:textId="77777777" w:rsidR="0080688F" w:rsidRPr="005B14D1" w:rsidRDefault="0080688F" w:rsidP="00D327F6">
      <w:pPr>
        <w:pStyle w:val="FootnoteText"/>
        <w:jc w:val="both"/>
        <w:rPr>
          <w:rFonts w:asciiTheme="minorHAnsi" w:hAnsiTheme="minorHAnsi"/>
          <w:sz w:val="18"/>
          <w:szCs w:val="18"/>
          <w:lang w:val="en-US"/>
        </w:rPr>
      </w:pPr>
      <w:r w:rsidRPr="005B14D1">
        <w:rPr>
          <w:rFonts w:asciiTheme="minorHAnsi" w:hAnsiTheme="minorHAnsi"/>
          <w:bCs/>
          <w:sz w:val="18"/>
          <w:szCs w:val="18"/>
          <w:vertAlign w:val="superscript"/>
        </w:rPr>
        <w:footnoteRef/>
      </w:r>
      <w:r w:rsidRPr="005B14D1">
        <w:rPr>
          <w:rFonts w:asciiTheme="minorHAnsi" w:hAnsiTheme="minorHAnsi"/>
          <w:bCs/>
          <w:sz w:val="18"/>
          <w:szCs w:val="18"/>
        </w:rPr>
        <w:t xml:space="preserve"> These templates are adapted from FAO. 2014. Good practices template. </w:t>
      </w:r>
      <w:proofErr w:type="gramStart"/>
      <w:r w:rsidRPr="005B14D1">
        <w:rPr>
          <w:rFonts w:asciiTheme="minorHAnsi" w:hAnsiTheme="minorHAnsi"/>
          <w:bCs/>
          <w:sz w:val="18"/>
          <w:szCs w:val="18"/>
        </w:rPr>
        <w:t xml:space="preserve">5 pp. (also available at </w:t>
      </w:r>
      <w:hyperlink r:id="rId1" w:history="1">
        <w:r w:rsidRPr="005B14D1">
          <w:rPr>
            <w:rStyle w:val="Hyperlink"/>
            <w:rFonts w:asciiTheme="minorHAnsi" w:hAnsiTheme="minorHAnsi"/>
            <w:bCs/>
            <w:sz w:val="18"/>
            <w:szCs w:val="18"/>
          </w:rPr>
          <w:t>www.fao.org/3/a-as547e.pdf</w:t>
        </w:r>
      </w:hyperlink>
      <w:r w:rsidRPr="005B14D1">
        <w:rPr>
          <w:rFonts w:asciiTheme="minorHAnsi" w:hAnsiTheme="minorHAnsi"/>
          <w:bCs/>
          <w:sz w:val="18"/>
          <w:szCs w:val="18"/>
        </w:rPr>
        <w:t>).</w:t>
      </w:r>
      <w:proofErr w:type="gramEnd"/>
    </w:p>
  </w:footnote>
  <w:footnote w:id="8">
    <w:p w14:paraId="728D7192" w14:textId="77777777" w:rsidR="0080688F" w:rsidRPr="00AA2FBA" w:rsidRDefault="0080688F" w:rsidP="00C91EED">
      <w:pPr>
        <w:pStyle w:val="FootnoteText"/>
        <w:rPr>
          <w:lang w:val="en-US"/>
        </w:rPr>
      </w:pPr>
      <w:r w:rsidRPr="005B14D1">
        <w:rPr>
          <w:rFonts w:asciiTheme="minorHAnsi" w:hAnsiTheme="minorHAnsi"/>
          <w:bCs/>
          <w:sz w:val="18"/>
          <w:szCs w:val="18"/>
          <w:vertAlign w:val="superscript"/>
        </w:rPr>
        <w:footnoteRef/>
      </w:r>
      <w:r w:rsidRPr="005B14D1">
        <w:rPr>
          <w:rFonts w:asciiTheme="minorHAnsi" w:hAnsiTheme="minorHAnsi"/>
          <w:bCs/>
          <w:sz w:val="18"/>
          <w:szCs w:val="18"/>
          <w:vertAlign w:val="superscript"/>
        </w:rPr>
        <w:t xml:space="preserve"> </w:t>
      </w:r>
      <w:r w:rsidRPr="005B14D1">
        <w:rPr>
          <w:rFonts w:asciiTheme="minorHAnsi" w:hAnsiTheme="minorHAnsi"/>
          <w:bCs/>
          <w:sz w:val="18"/>
          <w:szCs w:val="18"/>
        </w:rPr>
        <w:t>Civil Society Organisations where ROs are represented are also relevant for this study.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137C1" w14:textId="77777777" w:rsidR="0080688F" w:rsidRDefault="008068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253EB"/>
    <w:multiLevelType w:val="hybridMultilevel"/>
    <w:tmpl w:val="CD8CE870"/>
    <w:lvl w:ilvl="0" w:tplc="08090013">
      <w:start w:val="1"/>
      <w:numFmt w:val="upp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04F1301F"/>
    <w:multiLevelType w:val="hybridMultilevel"/>
    <w:tmpl w:val="7FA2EEA8"/>
    <w:lvl w:ilvl="0" w:tplc="0809000F">
      <w:start w:val="1"/>
      <w:numFmt w:val="decimal"/>
      <w:lvlText w:val="%1."/>
      <w:lvlJc w:val="left"/>
      <w:pPr>
        <w:ind w:left="765" w:hanging="360"/>
      </w:pPr>
      <w:rPr>
        <w:rFonts w:hint="default"/>
        <w:b w:val="0"/>
        <w:bCs w:val="0"/>
        <w:i w:val="0"/>
        <w:iCs w:val="0"/>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
    <w:nsid w:val="1E1A0EE9"/>
    <w:multiLevelType w:val="hybridMultilevel"/>
    <w:tmpl w:val="0D62D38C"/>
    <w:lvl w:ilvl="0" w:tplc="2C7CE064">
      <w:start w:val="1"/>
      <w:numFmt w:val="decimal"/>
      <w:lvlText w:val="%1)"/>
      <w:lvlJc w:val="left"/>
      <w:pPr>
        <w:ind w:left="720" w:hanging="360"/>
      </w:pPr>
      <w:rPr>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2E867D0"/>
    <w:multiLevelType w:val="hybridMultilevel"/>
    <w:tmpl w:val="E8EAE5F2"/>
    <w:lvl w:ilvl="0" w:tplc="F68033EA">
      <w:start w:val="1"/>
      <w:numFmt w:val="decimal"/>
      <w:lvlText w:val="%1."/>
      <w:lvlJc w:val="left"/>
      <w:pPr>
        <w:ind w:left="360" w:hanging="360"/>
      </w:pPr>
      <w:rPr>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243B3634"/>
    <w:multiLevelType w:val="multilevel"/>
    <w:tmpl w:val="1666BB0E"/>
    <w:lvl w:ilvl="0">
      <w:start w:val="1"/>
      <w:numFmt w:val="decimal"/>
      <w:lvlText w:val="%1."/>
      <w:lvlJc w:val="left"/>
      <w:pPr>
        <w:ind w:left="0" w:firstLine="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2F4B7D21"/>
    <w:multiLevelType w:val="hybridMultilevel"/>
    <w:tmpl w:val="5DAA96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344D2EE1"/>
    <w:multiLevelType w:val="hybridMultilevel"/>
    <w:tmpl w:val="E984F5A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3B8D54F2"/>
    <w:multiLevelType w:val="hybridMultilevel"/>
    <w:tmpl w:val="0EFEA820"/>
    <w:lvl w:ilvl="0" w:tplc="624213A4">
      <w:start w:val="1"/>
      <w:numFmt w:val="bullet"/>
      <w:lvlText w:val=""/>
      <w:lvlJc w:val="left"/>
      <w:pPr>
        <w:ind w:left="170" w:hanging="170"/>
      </w:pPr>
      <w:rPr>
        <w:rFonts w:ascii="Symbol" w:hAnsi="Symbol" w:hint="default"/>
        <w:color w:val="auto"/>
        <w:sz w:val="20"/>
        <w:szCs w:val="20"/>
      </w:rPr>
    </w:lvl>
    <w:lvl w:ilvl="1" w:tplc="ABEAD17A">
      <w:numFmt w:val="bullet"/>
      <w:lvlText w:val="-"/>
      <w:lvlJc w:val="left"/>
      <w:pPr>
        <w:ind w:left="454" w:hanging="170"/>
      </w:pPr>
      <w:rPr>
        <w:rFonts w:ascii="Calibri" w:eastAsiaTheme="minorHAnsi" w:hAnsi="Calibri" w:cstheme="minorBidi" w:hint="default"/>
        <w:color w:val="auto"/>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3C6D7067"/>
    <w:multiLevelType w:val="hybridMultilevel"/>
    <w:tmpl w:val="5504FFC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3EAE58F6"/>
    <w:multiLevelType w:val="multilevel"/>
    <w:tmpl w:val="E3FE046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nsid w:val="444D7067"/>
    <w:multiLevelType w:val="hybridMultilevel"/>
    <w:tmpl w:val="04523422"/>
    <w:lvl w:ilvl="0" w:tplc="23F60B1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4BE61E7"/>
    <w:multiLevelType w:val="hybridMultilevel"/>
    <w:tmpl w:val="4C06EE0E"/>
    <w:lvl w:ilvl="0" w:tplc="08090001">
      <w:start w:val="1"/>
      <w:numFmt w:val="bullet"/>
      <w:lvlText w:val=""/>
      <w:lvlJc w:val="left"/>
      <w:pPr>
        <w:ind w:left="765" w:hanging="360"/>
      </w:pPr>
      <w:rPr>
        <w:rFonts w:ascii="Symbol" w:hAnsi="Symbol" w:hint="default"/>
      </w:r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12">
    <w:nsid w:val="476129A1"/>
    <w:multiLevelType w:val="hybridMultilevel"/>
    <w:tmpl w:val="65422C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B583B6B"/>
    <w:multiLevelType w:val="hybridMultilevel"/>
    <w:tmpl w:val="8CEEFE4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4E375A91"/>
    <w:multiLevelType w:val="hybridMultilevel"/>
    <w:tmpl w:val="F8F67C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62F93658"/>
    <w:multiLevelType w:val="hybridMultilevel"/>
    <w:tmpl w:val="2084D62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69E5820"/>
    <w:multiLevelType w:val="hybridMultilevel"/>
    <w:tmpl w:val="328A5C70"/>
    <w:lvl w:ilvl="0" w:tplc="B82ABC5A">
      <w:start w:val="1"/>
      <w:numFmt w:val="decimal"/>
      <w:lvlText w:val="%1."/>
      <w:lvlJc w:val="left"/>
      <w:pPr>
        <w:tabs>
          <w:tab w:val="num" w:pos="284"/>
        </w:tabs>
        <w:ind w:left="0" w:firstLine="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2"/>
  </w:num>
  <w:num w:numId="2">
    <w:abstractNumId w:val="11"/>
  </w:num>
  <w:num w:numId="3">
    <w:abstractNumId w:val="1"/>
  </w:num>
  <w:num w:numId="4">
    <w:abstractNumId w:val="2"/>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7"/>
  </w:num>
  <w:num w:numId="8">
    <w:abstractNumId w:val="3"/>
  </w:num>
  <w:num w:numId="9">
    <w:abstractNumId w:val="10"/>
  </w:num>
  <w:num w:numId="10">
    <w:abstractNumId w:val="8"/>
  </w:num>
  <w:num w:numId="11">
    <w:abstractNumId w:val="5"/>
  </w:num>
  <w:num w:numId="12">
    <w:abstractNumId w:val="14"/>
  </w:num>
  <w:num w:numId="13">
    <w:abstractNumId w:val="0"/>
  </w:num>
  <w:num w:numId="14">
    <w:abstractNumId w:val="6"/>
  </w:num>
  <w:num w:numId="15">
    <w:abstractNumId w:val="15"/>
  </w:num>
  <w:num w:numId="16">
    <w:abstractNumId w:val="16"/>
  </w:num>
  <w:num w:numId="17">
    <w:abstractNumId w:val="9"/>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
  <w:rsids>
    <w:rsidRoot w:val="005E32D8"/>
    <w:rsid w:val="00001297"/>
    <w:rsid w:val="000048AD"/>
    <w:rsid w:val="00012905"/>
    <w:rsid w:val="00016780"/>
    <w:rsid w:val="000202EE"/>
    <w:rsid w:val="000203A3"/>
    <w:rsid w:val="00023A95"/>
    <w:rsid w:val="000245BC"/>
    <w:rsid w:val="00025D27"/>
    <w:rsid w:val="00027815"/>
    <w:rsid w:val="000346AE"/>
    <w:rsid w:val="000416F3"/>
    <w:rsid w:val="00047F34"/>
    <w:rsid w:val="00052F8B"/>
    <w:rsid w:val="000570BA"/>
    <w:rsid w:val="000602AA"/>
    <w:rsid w:val="0006554C"/>
    <w:rsid w:val="00066E0E"/>
    <w:rsid w:val="00080B0E"/>
    <w:rsid w:val="00084C0B"/>
    <w:rsid w:val="000A05A0"/>
    <w:rsid w:val="000A1795"/>
    <w:rsid w:val="000A25C0"/>
    <w:rsid w:val="000A5F83"/>
    <w:rsid w:val="000A7358"/>
    <w:rsid w:val="000A7EE2"/>
    <w:rsid w:val="000B3C14"/>
    <w:rsid w:val="000C2A59"/>
    <w:rsid w:val="000C6BF4"/>
    <w:rsid w:val="000D0B85"/>
    <w:rsid w:val="000E3F89"/>
    <w:rsid w:val="000F2C98"/>
    <w:rsid w:val="000F2F38"/>
    <w:rsid w:val="0010049E"/>
    <w:rsid w:val="00103492"/>
    <w:rsid w:val="001039E4"/>
    <w:rsid w:val="00112935"/>
    <w:rsid w:val="0011404C"/>
    <w:rsid w:val="00115C7C"/>
    <w:rsid w:val="00117BBD"/>
    <w:rsid w:val="00120259"/>
    <w:rsid w:val="001210E3"/>
    <w:rsid w:val="00122421"/>
    <w:rsid w:val="00122549"/>
    <w:rsid w:val="00127929"/>
    <w:rsid w:val="00133334"/>
    <w:rsid w:val="001335D0"/>
    <w:rsid w:val="00143765"/>
    <w:rsid w:val="00147556"/>
    <w:rsid w:val="00151D9E"/>
    <w:rsid w:val="00154E73"/>
    <w:rsid w:val="0015710B"/>
    <w:rsid w:val="00160222"/>
    <w:rsid w:val="00160896"/>
    <w:rsid w:val="0016445B"/>
    <w:rsid w:val="0016533B"/>
    <w:rsid w:val="00171D4E"/>
    <w:rsid w:val="001777A7"/>
    <w:rsid w:val="00185642"/>
    <w:rsid w:val="0018582F"/>
    <w:rsid w:val="0018630B"/>
    <w:rsid w:val="001922B4"/>
    <w:rsid w:val="00197C12"/>
    <w:rsid w:val="001A074B"/>
    <w:rsid w:val="001A3F10"/>
    <w:rsid w:val="001A474A"/>
    <w:rsid w:val="001A5983"/>
    <w:rsid w:val="001B50DA"/>
    <w:rsid w:val="001C0938"/>
    <w:rsid w:val="001C193C"/>
    <w:rsid w:val="001D23AB"/>
    <w:rsid w:val="001E7D1E"/>
    <w:rsid w:val="001F0CD9"/>
    <w:rsid w:val="001F1F74"/>
    <w:rsid w:val="001F32CA"/>
    <w:rsid w:val="002005B3"/>
    <w:rsid w:val="00200C7A"/>
    <w:rsid w:val="00204E32"/>
    <w:rsid w:val="00214966"/>
    <w:rsid w:val="00216947"/>
    <w:rsid w:val="002220C0"/>
    <w:rsid w:val="00222193"/>
    <w:rsid w:val="0022317E"/>
    <w:rsid w:val="00226729"/>
    <w:rsid w:val="002272CD"/>
    <w:rsid w:val="00232C1E"/>
    <w:rsid w:val="0023410F"/>
    <w:rsid w:val="002354D0"/>
    <w:rsid w:val="002365E9"/>
    <w:rsid w:val="00236B3A"/>
    <w:rsid w:val="00246B53"/>
    <w:rsid w:val="00254612"/>
    <w:rsid w:val="00260557"/>
    <w:rsid w:val="00267E87"/>
    <w:rsid w:val="002700A8"/>
    <w:rsid w:val="00271832"/>
    <w:rsid w:val="00273FA7"/>
    <w:rsid w:val="00282005"/>
    <w:rsid w:val="0028449B"/>
    <w:rsid w:val="002875C4"/>
    <w:rsid w:val="00290211"/>
    <w:rsid w:val="002969A6"/>
    <w:rsid w:val="002B14B6"/>
    <w:rsid w:val="002B4FA6"/>
    <w:rsid w:val="002E034D"/>
    <w:rsid w:val="002E14AA"/>
    <w:rsid w:val="002E58C5"/>
    <w:rsid w:val="002F26E7"/>
    <w:rsid w:val="002F7E7B"/>
    <w:rsid w:val="0030435A"/>
    <w:rsid w:val="0030740C"/>
    <w:rsid w:val="00315CD6"/>
    <w:rsid w:val="003215B3"/>
    <w:rsid w:val="003235FD"/>
    <w:rsid w:val="00340FA1"/>
    <w:rsid w:val="00342781"/>
    <w:rsid w:val="00342C8C"/>
    <w:rsid w:val="00365543"/>
    <w:rsid w:val="00366246"/>
    <w:rsid w:val="003734C0"/>
    <w:rsid w:val="00373DB5"/>
    <w:rsid w:val="00376315"/>
    <w:rsid w:val="00387DCC"/>
    <w:rsid w:val="00390193"/>
    <w:rsid w:val="0039281D"/>
    <w:rsid w:val="003A59C8"/>
    <w:rsid w:val="003A646C"/>
    <w:rsid w:val="003A797A"/>
    <w:rsid w:val="003B45C7"/>
    <w:rsid w:val="003B6F1A"/>
    <w:rsid w:val="003C244B"/>
    <w:rsid w:val="003C5B18"/>
    <w:rsid w:val="003C7F43"/>
    <w:rsid w:val="003D13BE"/>
    <w:rsid w:val="003E7E68"/>
    <w:rsid w:val="003F4F6E"/>
    <w:rsid w:val="0040605C"/>
    <w:rsid w:val="00413269"/>
    <w:rsid w:val="00417F29"/>
    <w:rsid w:val="004209C5"/>
    <w:rsid w:val="00425777"/>
    <w:rsid w:val="00425F51"/>
    <w:rsid w:val="00427B19"/>
    <w:rsid w:val="004349C1"/>
    <w:rsid w:val="00440E25"/>
    <w:rsid w:val="00443E0C"/>
    <w:rsid w:val="00445C68"/>
    <w:rsid w:val="0045168C"/>
    <w:rsid w:val="00460D9A"/>
    <w:rsid w:val="0047459B"/>
    <w:rsid w:val="00480F15"/>
    <w:rsid w:val="00481785"/>
    <w:rsid w:val="004878AD"/>
    <w:rsid w:val="004A350A"/>
    <w:rsid w:val="004A6DB2"/>
    <w:rsid w:val="004B22D9"/>
    <w:rsid w:val="004B2C98"/>
    <w:rsid w:val="004B51CB"/>
    <w:rsid w:val="004C3B2B"/>
    <w:rsid w:val="004C3C23"/>
    <w:rsid w:val="004C724A"/>
    <w:rsid w:val="004D3DC2"/>
    <w:rsid w:val="004E3474"/>
    <w:rsid w:val="004E4A3E"/>
    <w:rsid w:val="004F5CF2"/>
    <w:rsid w:val="00504097"/>
    <w:rsid w:val="00504B22"/>
    <w:rsid w:val="00504F10"/>
    <w:rsid w:val="005050DF"/>
    <w:rsid w:val="005051B8"/>
    <w:rsid w:val="0051151E"/>
    <w:rsid w:val="005118BD"/>
    <w:rsid w:val="00512CB6"/>
    <w:rsid w:val="00520892"/>
    <w:rsid w:val="0053149B"/>
    <w:rsid w:val="005348FB"/>
    <w:rsid w:val="00542160"/>
    <w:rsid w:val="0054270E"/>
    <w:rsid w:val="00552D15"/>
    <w:rsid w:val="00555F10"/>
    <w:rsid w:val="00560CA1"/>
    <w:rsid w:val="00560CE1"/>
    <w:rsid w:val="005656B5"/>
    <w:rsid w:val="00567BC1"/>
    <w:rsid w:val="00573688"/>
    <w:rsid w:val="0058127E"/>
    <w:rsid w:val="005814B3"/>
    <w:rsid w:val="0058371C"/>
    <w:rsid w:val="0058605E"/>
    <w:rsid w:val="00591561"/>
    <w:rsid w:val="00591762"/>
    <w:rsid w:val="00591CCE"/>
    <w:rsid w:val="00594CEF"/>
    <w:rsid w:val="00595740"/>
    <w:rsid w:val="005A2FE6"/>
    <w:rsid w:val="005A4238"/>
    <w:rsid w:val="005A5E37"/>
    <w:rsid w:val="005B14D1"/>
    <w:rsid w:val="005C3E31"/>
    <w:rsid w:val="005C65E5"/>
    <w:rsid w:val="005C7316"/>
    <w:rsid w:val="005D4B25"/>
    <w:rsid w:val="005E0387"/>
    <w:rsid w:val="005E0F11"/>
    <w:rsid w:val="005E2125"/>
    <w:rsid w:val="005E32D8"/>
    <w:rsid w:val="005E7D5E"/>
    <w:rsid w:val="005F2BD1"/>
    <w:rsid w:val="005F4F7D"/>
    <w:rsid w:val="006113BA"/>
    <w:rsid w:val="00614F83"/>
    <w:rsid w:val="00616E16"/>
    <w:rsid w:val="006251A2"/>
    <w:rsid w:val="00626194"/>
    <w:rsid w:val="0063737B"/>
    <w:rsid w:val="00650EFD"/>
    <w:rsid w:val="00654DA1"/>
    <w:rsid w:val="00662473"/>
    <w:rsid w:val="00664463"/>
    <w:rsid w:val="006718E7"/>
    <w:rsid w:val="0067537A"/>
    <w:rsid w:val="00683CDE"/>
    <w:rsid w:val="00687CF2"/>
    <w:rsid w:val="006906EB"/>
    <w:rsid w:val="006909C5"/>
    <w:rsid w:val="00692049"/>
    <w:rsid w:val="00693DF2"/>
    <w:rsid w:val="0069601D"/>
    <w:rsid w:val="0069633E"/>
    <w:rsid w:val="006A0EDE"/>
    <w:rsid w:val="006A280C"/>
    <w:rsid w:val="006A3FC1"/>
    <w:rsid w:val="006C1CED"/>
    <w:rsid w:val="006D6B5D"/>
    <w:rsid w:val="006E0872"/>
    <w:rsid w:val="006E2BA1"/>
    <w:rsid w:val="006E7CB7"/>
    <w:rsid w:val="006F63E2"/>
    <w:rsid w:val="007033D4"/>
    <w:rsid w:val="0070501B"/>
    <w:rsid w:val="007066F9"/>
    <w:rsid w:val="007103CA"/>
    <w:rsid w:val="007144B4"/>
    <w:rsid w:val="00715FF8"/>
    <w:rsid w:val="00721A5E"/>
    <w:rsid w:val="00722A05"/>
    <w:rsid w:val="0073366C"/>
    <w:rsid w:val="007338A7"/>
    <w:rsid w:val="00740D98"/>
    <w:rsid w:val="00741CC4"/>
    <w:rsid w:val="00742291"/>
    <w:rsid w:val="00743CA5"/>
    <w:rsid w:val="007449A4"/>
    <w:rsid w:val="00744A2E"/>
    <w:rsid w:val="007525C1"/>
    <w:rsid w:val="00753D6C"/>
    <w:rsid w:val="0075451D"/>
    <w:rsid w:val="00757E93"/>
    <w:rsid w:val="00762456"/>
    <w:rsid w:val="00766AEC"/>
    <w:rsid w:val="00770620"/>
    <w:rsid w:val="00772A75"/>
    <w:rsid w:val="00774064"/>
    <w:rsid w:val="007775E9"/>
    <w:rsid w:val="00781D23"/>
    <w:rsid w:val="00785173"/>
    <w:rsid w:val="007868C3"/>
    <w:rsid w:val="0078716C"/>
    <w:rsid w:val="00787EA5"/>
    <w:rsid w:val="00791A8C"/>
    <w:rsid w:val="00797028"/>
    <w:rsid w:val="007A0B9D"/>
    <w:rsid w:val="007A2593"/>
    <w:rsid w:val="007A63C9"/>
    <w:rsid w:val="007A6EF9"/>
    <w:rsid w:val="007C10ED"/>
    <w:rsid w:val="007C7E3C"/>
    <w:rsid w:val="007D1EB9"/>
    <w:rsid w:val="007D247E"/>
    <w:rsid w:val="007D26A2"/>
    <w:rsid w:val="007D6B66"/>
    <w:rsid w:val="007D729D"/>
    <w:rsid w:val="007E1CBC"/>
    <w:rsid w:val="007E2807"/>
    <w:rsid w:val="007E5846"/>
    <w:rsid w:val="007F60EE"/>
    <w:rsid w:val="008028D7"/>
    <w:rsid w:val="00803B8A"/>
    <w:rsid w:val="0080688F"/>
    <w:rsid w:val="00813ABC"/>
    <w:rsid w:val="0081451B"/>
    <w:rsid w:val="00814D6D"/>
    <w:rsid w:val="00822A48"/>
    <w:rsid w:val="00822FCC"/>
    <w:rsid w:val="0082562D"/>
    <w:rsid w:val="0083188B"/>
    <w:rsid w:val="008333DA"/>
    <w:rsid w:val="008351BF"/>
    <w:rsid w:val="00836303"/>
    <w:rsid w:val="00841D9F"/>
    <w:rsid w:val="008445D3"/>
    <w:rsid w:val="0085318E"/>
    <w:rsid w:val="00855402"/>
    <w:rsid w:val="008603A4"/>
    <w:rsid w:val="008603CE"/>
    <w:rsid w:val="008609A6"/>
    <w:rsid w:val="00864A07"/>
    <w:rsid w:val="008679A4"/>
    <w:rsid w:val="00870D4E"/>
    <w:rsid w:val="00871655"/>
    <w:rsid w:val="008720BE"/>
    <w:rsid w:val="00873644"/>
    <w:rsid w:val="008964D9"/>
    <w:rsid w:val="00896641"/>
    <w:rsid w:val="008A1C92"/>
    <w:rsid w:val="008A7303"/>
    <w:rsid w:val="008B2918"/>
    <w:rsid w:val="008B2FAA"/>
    <w:rsid w:val="008B65C7"/>
    <w:rsid w:val="008B77FC"/>
    <w:rsid w:val="008C48A7"/>
    <w:rsid w:val="008D0C5C"/>
    <w:rsid w:val="008D3AB9"/>
    <w:rsid w:val="008D6885"/>
    <w:rsid w:val="008E042B"/>
    <w:rsid w:val="008E27D7"/>
    <w:rsid w:val="008F0B1B"/>
    <w:rsid w:val="008F67AB"/>
    <w:rsid w:val="0090048E"/>
    <w:rsid w:val="0090537D"/>
    <w:rsid w:val="0091076B"/>
    <w:rsid w:val="0091505E"/>
    <w:rsid w:val="00920DF6"/>
    <w:rsid w:val="00925211"/>
    <w:rsid w:val="00932076"/>
    <w:rsid w:val="009320E5"/>
    <w:rsid w:val="00937BA6"/>
    <w:rsid w:val="0094337F"/>
    <w:rsid w:val="00951D12"/>
    <w:rsid w:val="0095363E"/>
    <w:rsid w:val="00953DF3"/>
    <w:rsid w:val="00955F34"/>
    <w:rsid w:val="00967E3B"/>
    <w:rsid w:val="009824F1"/>
    <w:rsid w:val="009824F6"/>
    <w:rsid w:val="009828DE"/>
    <w:rsid w:val="0098322D"/>
    <w:rsid w:val="00984C2C"/>
    <w:rsid w:val="00986B95"/>
    <w:rsid w:val="009A4ECB"/>
    <w:rsid w:val="009A79E1"/>
    <w:rsid w:val="009B03A4"/>
    <w:rsid w:val="009B3D9F"/>
    <w:rsid w:val="009B5C0D"/>
    <w:rsid w:val="009C087B"/>
    <w:rsid w:val="009C4EA4"/>
    <w:rsid w:val="009C5384"/>
    <w:rsid w:val="009C6668"/>
    <w:rsid w:val="009C6FB0"/>
    <w:rsid w:val="009D19D9"/>
    <w:rsid w:val="009D30D2"/>
    <w:rsid w:val="009D77A8"/>
    <w:rsid w:val="009F1853"/>
    <w:rsid w:val="009F1A7A"/>
    <w:rsid w:val="009F63F1"/>
    <w:rsid w:val="00A00425"/>
    <w:rsid w:val="00A056DF"/>
    <w:rsid w:val="00A12625"/>
    <w:rsid w:val="00A14F97"/>
    <w:rsid w:val="00A211FE"/>
    <w:rsid w:val="00A21605"/>
    <w:rsid w:val="00A2579C"/>
    <w:rsid w:val="00A30412"/>
    <w:rsid w:val="00A33558"/>
    <w:rsid w:val="00A33DF6"/>
    <w:rsid w:val="00A368F7"/>
    <w:rsid w:val="00A40D9C"/>
    <w:rsid w:val="00A41921"/>
    <w:rsid w:val="00A447E2"/>
    <w:rsid w:val="00A45FD5"/>
    <w:rsid w:val="00A50596"/>
    <w:rsid w:val="00A5203A"/>
    <w:rsid w:val="00A571BA"/>
    <w:rsid w:val="00A615DB"/>
    <w:rsid w:val="00A7595B"/>
    <w:rsid w:val="00A81BCC"/>
    <w:rsid w:val="00A81D0C"/>
    <w:rsid w:val="00A91832"/>
    <w:rsid w:val="00A91BD3"/>
    <w:rsid w:val="00A948B6"/>
    <w:rsid w:val="00A9553A"/>
    <w:rsid w:val="00A96C82"/>
    <w:rsid w:val="00A97BFB"/>
    <w:rsid w:val="00AA0FC8"/>
    <w:rsid w:val="00AA2FBA"/>
    <w:rsid w:val="00AA6AB8"/>
    <w:rsid w:val="00AB3847"/>
    <w:rsid w:val="00AB515A"/>
    <w:rsid w:val="00AC70CE"/>
    <w:rsid w:val="00AD7B73"/>
    <w:rsid w:val="00AE3AC1"/>
    <w:rsid w:val="00AE49C4"/>
    <w:rsid w:val="00AE773D"/>
    <w:rsid w:val="00AF184B"/>
    <w:rsid w:val="00B05DD2"/>
    <w:rsid w:val="00B23056"/>
    <w:rsid w:val="00B2726F"/>
    <w:rsid w:val="00B405D0"/>
    <w:rsid w:val="00B43D50"/>
    <w:rsid w:val="00B47F7D"/>
    <w:rsid w:val="00B5317A"/>
    <w:rsid w:val="00B5387E"/>
    <w:rsid w:val="00B609A0"/>
    <w:rsid w:val="00B6262E"/>
    <w:rsid w:val="00B7105B"/>
    <w:rsid w:val="00B7473E"/>
    <w:rsid w:val="00B77A9E"/>
    <w:rsid w:val="00B77C7D"/>
    <w:rsid w:val="00B873C8"/>
    <w:rsid w:val="00B87D32"/>
    <w:rsid w:val="00B92773"/>
    <w:rsid w:val="00BA0EF5"/>
    <w:rsid w:val="00BA54CF"/>
    <w:rsid w:val="00BA70AD"/>
    <w:rsid w:val="00BB58A4"/>
    <w:rsid w:val="00BB6334"/>
    <w:rsid w:val="00BC08F7"/>
    <w:rsid w:val="00BC132C"/>
    <w:rsid w:val="00BC368E"/>
    <w:rsid w:val="00BC4049"/>
    <w:rsid w:val="00BD3E74"/>
    <w:rsid w:val="00BD5801"/>
    <w:rsid w:val="00BD5DC6"/>
    <w:rsid w:val="00BD6ABE"/>
    <w:rsid w:val="00BE30DA"/>
    <w:rsid w:val="00BE6AD0"/>
    <w:rsid w:val="00BF2EF1"/>
    <w:rsid w:val="00C112B3"/>
    <w:rsid w:val="00C11D99"/>
    <w:rsid w:val="00C13B4B"/>
    <w:rsid w:val="00C224A6"/>
    <w:rsid w:val="00C23474"/>
    <w:rsid w:val="00C35F3E"/>
    <w:rsid w:val="00C363DA"/>
    <w:rsid w:val="00C372DE"/>
    <w:rsid w:val="00C43BEC"/>
    <w:rsid w:val="00C56411"/>
    <w:rsid w:val="00C70D1B"/>
    <w:rsid w:val="00C75B3C"/>
    <w:rsid w:val="00C77778"/>
    <w:rsid w:val="00C91EED"/>
    <w:rsid w:val="00C963FC"/>
    <w:rsid w:val="00C96DD3"/>
    <w:rsid w:val="00CA0140"/>
    <w:rsid w:val="00CA2C8D"/>
    <w:rsid w:val="00CA52CA"/>
    <w:rsid w:val="00CB0A8E"/>
    <w:rsid w:val="00CC4E3B"/>
    <w:rsid w:val="00CD3E73"/>
    <w:rsid w:val="00CE172B"/>
    <w:rsid w:val="00CE6554"/>
    <w:rsid w:val="00CE75DA"/>
    <w:rsid w:val="00CF17C3"/>
    <w:rsid w:val="00D036CF"/>
    <w:rsid w:val="00D066CA"/>
    <w:rsid w:val="00D20F30"/>
    <w:rsid w:val="00D327F6"/>
    <w:rsid w:val="00D54ECE"/>
    <w:rsid w:val="00D60659"/>
    <w:rsid w:val="00D62A51"/>
    <w:rsid w:val="00D640FC"/>
    <w:rsid w:val="00D64384"/>
    <w:rsid w:val="00D64395"/>
    <w:rsid w:val="00D70A66"/>
    <w:rsid w:val="00D804BD"/>
    <w:rsid w:val="00D805BD"/>
    <w:rsid w:val="00D91C16"/>
    <w:rsid w:val="00DA1F0A"/>
    <w:rsid w:val="00DA6F9B"/>
    <w:rsid w:val="00DA781B"/>
    <w:rsid w:val="00DC1485"/>
    <w:rsid w:val="00DC4C0A"/>
    <w:rsid w:val="00DC5E6B"/>
    <w:rsid w:val="00DD1162"/>
    <w:rsid w:val="00DD37F3"/>
    <w:rsid w:val="00DD5395"/>
    <w:rsid w:val="00DD75B3"/>
    <w:rsid w:val="00DE2EFA"/>
    <w:rsid w:val="00DE49E1"/>
    <w:rsid w:val="00DE4D89"/>
    <w:rsid w:val="00DF0B88"/>
    <w:rsid w:val="00DF43F4"/>
    <w:rsid w:val="00DF6D32"/>
    <w:rsid w:val="00E0325E"/>
    <w:rsid w:val="00E0441A"/>
    <w:rsid w:val="00E10B38"/>
    <w:rsid w:val="00E12297"/>
    <w:rsid w:val="00E13E00"/>
    <w:rsid w:val="00E144F0"/>
    <w:rsid w:val="00E17DF0"/>
    <w:rsid w:val="00E23833"/>
    <w:rsid w:val="00E253DD"/>
    <w:rsid w:val="00E34559"/>
    <w:rsid w:val="00E41A34"/>
    <w:rsid w:val="00E45A3E"/>
    <w:rsid w:val="00E467BC"/>
    <w:rsid w:val="00E52999"/>
    <w:rsid w:val="00E56F10"/>
    <w:rsid w:val="00E56F37"/>
    <w:rsid w:val="00E5781C"/>
    <w:rsid w:val="00E65810"/>
    <w:rsid w:val="00E74AAB"/>
    <w:rsid w:val="00E74EF1"/>
    <w:rsid w:val="00E768F7"/>
    <w:rsid w:val="00E82CDD"/>
    <w:rsid w:val="00E95803"/>
    <w:rsid w:val="00EA17A7"/>
    <w:rsid w:val="00EA2252"/>
    <w:rsid w:val="00EA4164"/>
    <w:rsid w:val="00EA5A0D"/>
    <w:rsid w:val="00EA78D3"/>
    <w:rsid w:val="00EB78BB"/>
    <w:rsid w:val="00EC5E6A"/>
    <w:rsid w:val="00ED55A9"/>
    <w:rsid w:val="00EE2489"/>
    <w:rsid w:val="00EF0ADB"/>
    <w:rsid w:val="00EF4A3C"/>
    <w:rsid w:val="00EF4FAC"/>
    <w:rsid w:val="00EF5243"/>
    <w:rsid w:val="00EF5F92"/>
    <w:rsid w:val="00F005DC"/>
    <w:rsid w:val="00F038E4"/>
    <w:rsid w:val="00F05363"/>
    <w:rsid w:val="00F10AD9"/>
    <w:rsid w:val="00F2523A"/>
    <w:rsid w:val="00F34120"/>
    <w:rsid w:val="00F35880"/>
    <w:rsid w:val="00F45C2B"/>
    <w:rsid w:val="00F51141"/>
    <w:rsid w:val="00F51A13"/>
    <w:rsid w:val="00F54A4E"/>
    <w:rsid w:val="00F557DE"/>
    <w:rsid w:val="00F56680"/>
    <w:rsid w:val="00F6291A"/>
    <w:rsid w:val="00F658AA"/>
    <w:rsid w:val="00F65A8B"/>
    <w:rsid w:val="00F66BBB"/>
    <w:rsid w:val="00F73403"/>
    <w:rsid w:val="00F74BDA"/>
    <w:rsid w:val="00F76001"/>
    <w:rsid w:val="00F76F9B"/>
    <w:rsid w:val="00F82607"/>
    <w:rsid w:val="00F90AA0"/>
    <w:rsid w:val="00F9234F"/>
    <w:rsid w:val="00F961D5"/>
    <w:rsid w:val="00FA18A6"/>
    <w:rsid w:val="00FA3A32"/>
    <w:rsid w:val="00FA7C1A"/>
    <w:rsid w:val="00FB199E"/>
    <w:rsid w:val="00FB3F38"/>
    <w:rsid w:val="00FD1BB8"/>
    <w:rsid w:val="00FD1D05"/>
    <w:rsid w:val="00FD24B1"/>
    <w:rsid w:val="00FD53DC"/>
    <w:rsid w:val="00FE5CF7"/>
    <w:rsid w:val="00FE7FE8"/>
    <w:rsid w:val="00FF61A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14:docId w14:val="73E8F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87B"/>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paragraph" w:styleId="ListParagraph">
    <w:name w:val="List Paragraph"/>
    <w:basedOn w:val="Normal"/>
    <w:uiPriority w:val="34"/>
    <w:qFormat/>
    <w:rsid w:val="005E32D8"/>
    <w:pPr>
      <w:ind w:left="720"/>
      <w:contextualSpacing/>
    </w:pPr>
  </w:style>
  <w:style w:type="paragraph" w:styleId="FootnoteText">
    <w:name w:val="footnote text"/>
    <w:basedOn w:val="Normal"/>
    <w:link w:val="FootnoteTextChar"/>
    <w:uiPriority w:val="99"/>
    <w:unhideWhenUsed/>
    <w:rsid w:val="002354D0"/>
    <w:pPr>
      <w:spacing w:after="0" w:line="240" w:lineRule="auto"/>
    </w:pPr>
    <w:rPr>
      <w:sz w:val="20"/>
      <w:szCs w:val="20"/>
    </w:rPr>
  </w:style>
  <w:style w:type="character" w:customStyle="1" w:styleId="FootnoteTextChar">
    <w:name w:val="Footnote Text Char"/>
    <w:basedOn w:val="DefaultParagraphFont"/>
    <w:link w:val="FootnoteText"/>
    <w:uiPriority w:val="99"/>
    <w:rsid w:val="002354D0"/>
    <w:rPr>
      <w:rFonts w:ascii="Times New Roman" w:hAnsi="Times New Roman"/>
      <w:sz w:val="20"/>
      <w:szCs w:val="20"/>
      <w:lang w:val="en-GB"/>
    </w:rPr>
  </w:style>
  <w:style w:type="character" w:styleId="FootnoteReference">
    <w:name w:val="footnote reference"/>
    <w:basedOn w:val="DefaultParagraphFont"/>
    <w:uiPriority w:val="99"/>
    <w:unhideWhenUsed/>
    <w:rsid w:val="002354D0"/>
    <w:rPr>
      <w:vertAlign w:val="superscript"/>
    </w:rPr>
  </w:style>
  <w:style w:type="paragraph" w:customStyle="1" w:styleId="Default">
    <w:name w:val="Default"/>
    <w:rsid w:val="008A1C92"/>
    <w:pPr>
      <w:autoSpaceDE w:val="0"/>
      <w:autoSpaceDN w:val="0"/>
      <w:adjustRightInd w:val="0"/>
      <w:spacing w:after="0" w:line="240" w:lineRule="auto"/>
    </w:pPr>
    <w:rPr>
      <w:rFonts w:ascii="Times New Roman" w:hAnsi="Times New Roman" w:cs="Times New Roman"/>
      <w:color w:val="000000"/>
      <w:sz w:val="24"/>
      <w:szCs w:val="24"/>
      <w:lang w:val="en-GB"/>
    </w:rPr>
  </w:style>
  <w:style w:type="paragraph" w:styleId="EndnoteText">
    <w:name w:val="endnote text"/>
    <w:basedOn w:val="Normal"/>
    <w:link w:val="EndnoteTextChar"/>
    <w:uiPriority w:val="99"/>
    <w:unhideWhenUsed/>
    <w:rsid w:val="00216947"/>
    <w:pPr>
      <w:spacing w:after="0" w:line="240" w:lineRule="auto"/>
    </w:pPr>
    <w:rPr>
      <w:rFonts w:eastAsia="Times New Roman" w:cs="Times New Roman"/>
      <w:sz w:val="20"/>
      <w:szCs w:val="20"/>
    </w:rPr>
  </w:style>
  <w:style w:type="character" w:customStyle="1" w:styleId="EndnoteTextChar">
    <w:name w:val="Endnote Text Char"/>
    <w:basedOn w:val="DefaultParagraphFont"/>
    <w:link w:val="EndnoteText"/>
    <w:uiPriority w:val="99"/>
    <w:rsid w:val="00216947"/>
    <w:rPr>
      <w:rFonts w:ascii="Times New Roman" w:eastAsia="Times New Roman" w:hAnsi="Times New Roman" w:cs="Times New Roman"/>
      <w:sz w:val="20"/>
      <w:szCs w:val="20"/>
      <w:lang w:val="en-GB"/>
    </w:rPr>
  </w:style>
  <w:style w:type="character" w:styleId="EndnoteReference">
    <w:name w:val="endnote reference"/>
    <w:basedOn w:val="DefaultParagraphFont"/>
    <w:uiPriority w:val="99"/>
    <w:unhideWhenUsed/>
    <w:rsid w:val="00216947"/>
    <w:rPr>
      <w:vertAlign w:val="superscript"/>
    </w:rPr>
  </w:style>
  <w:style w:type="character" w:styleId="Hyperlink">
    <w:name w:val="Hyperlink"/>
    <w:basedOn w:val="DefaultParagraphFont"/>
    <w:uiPriority w:val="99"/>
    <w:unhideWhenUsed/>
    <w:rsid w:val="00C70D1B"/>
    <w:rPr>
      <w:color w:val="0000FF" w:themeColor="hyperlink"/>
      <w:u w:val="single"/>
    </w:rPr>
  </w:style>
  <w:style w:type="character" w:customStyle="1" w:styleId="apple-converted-space">
    <w:name w:val="apple-converted-space"/>
    <w:basedOn w:val="DefaultParagraphFont"/>
    <w:rsid w:val="00FA3A32"/>
  </w:style>
  <w:style w:type="table" w:styleId="TableGrid">
    <w:name w:val="Table Grid"/>
    <w:basedOn w:val="TableNormal"/>
    <w:uiPriority w:val="59"/>
    <w:rsid w:val="004C3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00C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C7A"/>
    <w:rPr>
      <w:rFonts w:ascii="Tahoma" w:hAnsi="Tahoma" w:cs="Tahoma"/>
      <w:sz w:val="16"/>
      <w:szCs w:val="16"/>
      <w:lang w:val="en-GB"/>
    </w:rPr>
  </w:style>
  <w:style w:type="character" w:styleId="CommentReference">
    <w:name w:val="annotation reference"/>
    <w:basedOn w:val="DefaultParagraphFont"/>
    <w:uiPriority w:val="99"/>
    <w:semiHidden/>
    <w:unhideWhenUsed/>
    <w:rsid w:val="00504B22"/>
    <w:rPr>
      <w:sz w:val="16"/>
      <w:szCs w:val="16"/>
    </w:rPr>
  </w:style>
  <w:style w:type="paragraph" w:styleId="CommentText">
    <w:name w:val="annotation text"/>
    <w:basedOn w:val="Normal"/>
    <w:link w:val="CommentTextChar"/>
    <w:uiPriority w:val="99"/>
    <w:semiHidden/>
    <w:unhideWhenUsed/>
    <w:rsid w:val="00504B22"/>
    <w:pPr>
      <w:spacing w:line="240" w:lineRule="auto"/>
    </w:pPr>
    <w:rPr>
      <w:sz w:val="20"/>
      <w:szCs w:val="20"/>
    </w:rPr>
  </w:style>
  <w:style w:type="character" w:customStyle="1" w:styleId="CommentTextChar">
    <w:name w:val="Comment Text Char"/>
    <w:basedOn w:val="DefaultParagraphFont"/>
    <w:link w:val="CommentText"/>
    <w:uiPriority w:val="99"/>
    <w:semiHidden/>
    <w:rsid w:val="00504B2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504B22"/>
    <w:rPr>
      <w:b/>
      <w:bCs/>
    </w:rPr>
  </w:style>
  <w:style w:type="character" w:customStyle="1" w:styleId="CommentSubjectChar">
    <w:name w:val="Comment Subject Char"/>
    <w:basedOn w:val="CommentTextChar"/>
    <w:link w:val="CommentSubject"/>
    <w:uiPriority w:val="99"/>
    <w:semiHidden/>
    <w:rsid w:val="00504B22"/>
    <w:rPr>
      <w:rFonts w:ascii="Times New Roman" w:hAnsi="Times New Roman"/>
      <w:b/>
      <w:bCs/>
      <w:sz w:val="20"/>
      <w:szCs w:val="20"/>
      <w:lang w:val="en-GB"/>
    </w:rPr>
  </w:style>
  <w:style w:type="table" w:styleId="LightShading-Accent4">
    <w:name w:val="Light Shading Accent 4"/>
    <w:basedOn w:val="TableNormal"/>
    <w:uiPriority w:val="60"/>
    <w:rsid w:val="00271832"/>
    <w:pPr>
      <w:spacing w:after="0" w:line="240" w:lineRule="auto"/>
    </w:pPr>
    <w:rPr>
      <w:rFonts w:eastAsiaTheme="minorEastAsia"/>
      <w:color w:val="5F497A" w:themeColor="accent4" w:themeShade="BF"/>
      <w:sz w:val="24"/>
      <w:szCs w:val="24"/>
      <w:lang w:val="it-IT"/>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87B"/>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paragraph" w:styleId="ListParagraph">
    <w:name w:val="List Paragraph"/>
    <w:basedOn w:val="Normal"/>
    <w:uiPriority w:val="34"/>
    <w:qFormat/>
    <w:rsid w:val="005E32D8"/>
    <w:pPr>
      <w:ind w:left="720"/>
      <w:contextualSpacing/>
    </w:pPr>
  </w:style>
  <w:style w:type="paragraph" w:styleId="FootnoteText">
    <w:name w:val="footnote text"/>
    <w:basedOn w:val="Normal"/>
    <w:link w:val="FootnoteTextChar"/>
    <w:uiPriority w:val="99"/>
    <w:unhideWhenUsed/>
    <w:rsid w:val="002354D0"/>
    <w:pPr>
      <w:spacing w:after="0" w:line="240" w:lineRule="auto"/>
    </w:pPr>
    <w:rPr>
      <w:sz w:val="20"/>
      <w:szCs w:val="20"/>
    </w:rPr>
  </w:style>
  <w:style w:type="character" w:customStyle="1" w:styleId="FootnoteTextChar">
    <w:name w:val="Footnote Text Char"/>
    <w:basedOn w:val="DefaultParagraphFont"/>
    <w:link w:val="FootnoteText"/>
    <w:uiPriority w:val="99"/>
    <w:rsid w:val="002354D0"/>
    <w:rPr>
      <w:rFonts w:ascii="Times New Roman" w:hAnsi="Times New Roman"/>
      <w:sz w:val="20"/>
      <w:szCs w:val="20"/>
      <w:lang w:val="en-GB"/>
    </w:rPr>
  </w:style>
  <w:style w:type="character" w:styleId="FootnoteReference">
    <w:name w:val="footnote reference"/>
    <w:basedOn w:val="DefaultParagraphFont"/>
    <w:uiPriority w:val="99"/>
    <w:unhideWhenUsed/>
    <w:rsid w:val="002354D0"/>
    <w:rPr>
      <w:vertAlign w:val="superscript"/>
    </w:rPr>
  </w:style>
  <w:style w:type="paragraph" w:customStyle="1" w:styleId="Default">
    <w:name w:val="Default"/>
    <w:rsid w:val="008A1C92"/>
    <w:pPr>
      <w:autoSpaceDE w:val="0"/>
      <w:autoSpaceDN w:val="0"/>
      <w:adjustRightInd w:val="0"/>
      <w:spacing w:after="0" w:line="240" w:lineRule="auto"/>
    </w:pPr>
    <w:rPr>
      <w:rFonts w:ascii="Times New Roman" w:hAnsi="Times New Roman" w:cs="Times New Roman"/>
      <w:color w:val="000000"/>
      <w:sz w:val="24"/>
      <w:szCs w:val="24"/>
      <w:lang w:val="en-GB"/>
    </w:rPr>
  </w:style>
  <w:style w:type="paragraph" w:styleId="EndnoteText">
    <w:name w:val="endnote text"/>
    <w:basedOn w:val="Normal"/>
    <w:link w:val="EndnoteTextChar"/>
    <w:uiPriority w:val="99"/>
    <w:unhideWhenUsed/>
    <w:rsid w:val="00216947"/>
    <w:pPr>
      <w:spacing w:after="0" w:line="240" w:lineRule="auto"/>
    </w:pPr>
    <w:rPr>
      <w:rFonts w:eastAsia="Times New Roman" w:cs="Times New Roman"/>
      <w:sz w:val="20"/>
      <w:szCs w:val="20"/>
    </w:rPr>
  </w:style>
  <w:style w:type="character" w:customStyle="1" w:styleId="EndnoteTextChar">
    <w:name w:val="Endnote Text Char"/>
    <w:basedOn w:val="DefaultParagraphFont"/>
    <w:link w:val="EndnoteText"/>
    <w:uiPriority w:val="99"/>
    <w:rsid w:val="00216947"/>
    <w:rPr>
      <w:rFonts w:ascii="Times New Roman" w:eastAsia="Times New Roman" w:hAnsi="Times New Roman" w:cs="Times New Roman"/>
      <w:sz w:val="20"/>
      <w:szCs w:val="20"/>
      <w:lang w:val="en-GB"/>
    </w:rPr>
  </w:style>
  <w:style w:type="character" w:styleId="EndnoteReference">
    <w:name w:val="endnote reference"/>
    <w:basedOn w:val="DefaultParagraphFont"/>
    <w:uiPriority w:val="99"/>
    <w:unhideWhenUsed/>
    <w:rsid w:val="00216947"/>
    <w:rPr>
      <w:vertAlign w:val="superscript"/>
    </w:rPr>
  </w:style>
  <w:style w:type="character" w:styleId="Hyperlink">
    <w:name w:val="Hyperlink"/>
    <w:basedOn w:val="DefaultParagraphFont"/>
    <w:uiPriority w:val="99"/>
    <w:unhideWhenUsed/>
    <w:rsid w:val="00C70D1B"/>
    <w:rPr>
      <w:color w:val="0000FF" w:themeColor="hyperlink"/>
      <w:u w:val="single"/>
    </w:rPr>
  </w:style>
  <w:style w:type="character" w:customStyle="1" w:styleId="apple-converted-space">
    <w:name w:val="apple-converted-space"/>
    <w:basedOn w:val="DefaultParagraphFont"/>
    <w:rsid w:val="00FA3A32"/>
  </w:style>
  <w:style w:type="table" w:styleId="TableGrid">
    <w:name w:val="Table Grid"/>
    <w:basedOn w:val="TableNormal"/>
    <w:uiPriority w:val="59"/>
    <w:rsid w:val="004C3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00C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C7A"/>
    <w:rPr>
      <w:rFonts w:ascii="Tahoma" w:hAnsi="Tahoma" w:cs="Tahoma"/>
      <w:sz w:val="16"/>
      <w:szCs w:val="16"/>
      <w:lang w:val="en-GB"/>
    </w:rPr>
  </w:style>
  <w:style w:type="character" w:styleId="CommentReference">
    <w:name w:val="annotation reference"/>
    <w:basedOn w:val="DefaultParagraphFont"/>
    <w:uiPriority w:val="99"/>
    <w:semiHidden/>
    <w:unhideWhenUsed/>
    <w:rsid w:val="00504B22"/>
    <w:rPr>
      <w:sz w:val="16"/>
      <w:szCs w:val="16"/>
    </w:rPr>
  </w:style>
  <w:style w:type="paragraph" w:styleId="CommentText">
    <w:name w:val="annotation text"/>
    <w:basedOn w:val="Normal"/>
    <w:link w:val="CommentTextChar"/>
    <w:uiPriority w:val="99"/>
    <w:semiHidden/>
    <w:unhideWhenUsed/>
    <w:rsid w:val="00504B22"/>
    <w:pPr>
      <w:spacing w:line="240" w:lineRule="auto"/>
    </w:pPr>
    <w:rPr>
      <w:sz w:val="20"/>
      <w:szCs w:val="20"/>
    </w:rPr>
  </w:style>
  <w:style w:type="character" w:customStyle="1" w:styleId="CommentTextChar">
    <w:name w:val="Comment Text Char"/>
    <w:basedOn w:val="DefaultParagraphFont"/>
    <w:link w:val="CommentText"/>
    <w:uiPriority w:val="99"/>
    <w:semiHidden/>
    <w:rsid w:val="00504B2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504B22"/>
    <w:rPr>
      <w:b/>
      <w:bCs/>
    </w:rPr>
  </w:style>
  <w:style w:type="character" w:customStyle="1" w:styleId="CommentSubjectChar">
    <w:name w:val="Comment Subject Char"/>
    <w:basedOn w:val="CommentTextChar"/>
    <w:link w:val="CommentSubject"/>
    <w:uiPriority w:val="99"/>
    <w:semiHidden/>
    <w:rsid w:val="00504B22"/>
    <w:rPr>
      <w:rFonts w:ascii="Times New Roman" w:hAnsi="Times New Roman"/>
      <w:b/>
      <w:bCs/>
      <w:sz w:val="20"/>
      <w:szCs w:val="20"/>
      <w:lang w:val="en-GB"/>
    </w:rPr>
  </w:style>
  <w:style w:type="table" w:styleId="LightShading-Accent4">
    <w:name w:val="Light Shading Accent 4"/>
    <w:basedOn w:val="TableNormal"/>
    <w:uiPriority w:val="60"/>
    <w:rsid w:val="00271832"/>
    <w:pPr>
      <w:spacing w:after="0" w:line="240" w:lineRule="auto"/>
    </w:pPr>
    <w:rPr>
      <w:rFonts w:eastAsiaTheme="minorEastAsia"/>
      <w:color w:val="5F497A" w:themeColor="accent4" w:themeShade="BF"/>
      <w:sz w:val="24"/>
      <w:szCs w:val="24"/>
      <w:lang w:val="it-IT"/>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501619">
      <w:bodyDiv w:val="1"/>
      <w:marLeft w:val="0"/>
      <w:marRight w:val="0"/>
      <w:marTop w:val="0"/>
      <w:marBottom w:val="0"/>
      <w:divBdr>
        <w:top w:val="none" w:sz="0" w:space="0" w:color="auto"/>
        <w:left w:val="none" w:sz="0" w:space="0" w:color="auto"/>
        <w:bottom w:val="none" w:sz="0" w:space="0" w:color="auto"/>
        <w:right w:val="none" w:sz="0" w:space="0" w:color="auto"/>
      </w:divBdr>
    </w:div>
    <w:div w:id="1355039624">
      <w:bodyDiv w:val="1"/>
      <w:marLeft w:val="0"/>
      <w:marRight w:val="0"/>
      <w:marTop w:val="0"/>
      <w:marBottom w:val="0"/>
      <w:divBdr>
        <w:top w:val="none" w:sz="0" w:space="0" w:color="auto"/>
        <w:left w:val="none" w:sz="0" w:space="0" w:color="auto"/>
        <w:bottom w:val="none" w:sz="0" w:space="0" w:color="auto"/>
        <w:right w:val="none" w:sz="0" w:space="0" w:color="auto"/>
      </w:divBdr>
    </w:div>
    <w:div w:id="1397555343">
      <w:bodyDiv w:val="1"/>
      <w:marLeft w:val="0"/>
      <w:marRight w:val="0"/>
      <w:marTop w:val="0"/>
      <w:marBottom w:val="0"/>
      <w:divBdr>
        <w:top w:val="none" w:sz="0" w:space="0" w:color="auto"/>
        <w:left w:val="none" w:sz="0" w:space="0" w:color="auto"/>
        <w:bottom w:val="none" w:sz="0" w:space="0" w:color="auto"/>
        <w:right w:val="none" w:sz="0" w:space="0" w:color="auto"/>
      </w:divBdr>
    </w:div>
    <w:div w:id="1685327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fao.org/3/a-as547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BA39-FA19-47A0-B37E-C727BA9196E3}">
  <ds:schemaRefs>
    <ds:schemaRef ds:uri="http://schemas.openxmlformats.org/officeDocument/2006/bibliography"/>
  </ds:schemaRefs>
</ds:datastoreItem>
</file>

<file path=customXml/itemProps2.xml><?xml version="1.0" encoding="utf-8"?>
<ds:datastoreItem xmlns:ds="http://schemas.openxmlformats.org/officeDocument/2006/customXml" ds:itemID="{4DEAF4FF-B488-4AFB-BF97-B030C4DE5CCC}">
  <ds:schemaRefs>
    <ds:schemaRef ds:uri="http://schemas.openxmlformats.org/officeDocument/2006/bibliography"/>
  </ds:schemaRefs>
</ds:datastoreItem>
</file>

<file path=customXml/itemProps3.xml><?xml version="1.0" encoding="utf-8"?>
<ds:datastoreItem xmlns:ds="http://schemas.openxmlformats.org/officeDocument/2006/customXml" ds:itemID="{DCFACD44-043C-4584-BB37-D86B56AD6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1821</Words>
  <Characters>10383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12180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Vinci (ESP)</dc:creator>
  <cp:lastModifiedBy>Igor Vinci (ESP)</cp:lastModifiedBy>
  <cp:revision>12</cp:revision>
  <cp:lastPrinted>2014-09-11T15:11:00Z</cp:lastPrinted>
  <dcterms:created xsi:type="dcterms:W3CDTF">2015-03-24T11:08:00Z</dcterms:created>
  <dcterms:modified xsi:type="dcterms:W3CDTF">2015-05-14T10:32:00Z</dcterms:modified>
</cp:coreProperties>
</file>