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1369C" w14:textId="375556AD" w:rsidR="00E70C98" w:rsidRPr="00E70C98" w:rsidRDefault="00E70C98" w:rsidP="00E70C98">
      <w:pPr>
        <w:spacing w:after="60"/>
        <w:jc w:val="center"/>
        <w:rPr>
          <w:rFonts w:asciiTheme="minorHAnsi" w:hAnsiTheme="minorHAnsi"/>
          <w:b/>
          <w:bCs/>
          <w:color w:val="244061" w:themeColor="accent1" w:themeShade="80"/>
          <w:szCs w:val="24"/>
          <w:lang w:val="fr-FR"/>
        </w:rPr>
      </w:pPr>
      <w:r w:rsidRPr="00E70C98">
        <w:rPr>
          <w:rFonts w:asciiTheme="minorHAnsi" w:hAnsiTheme="minorHAnsi"/>
          <w:b/>
          <w:bCs/>
          <w:color w:val="244061" w:themeColor="accent1" w:themeShade="80"/>
          <w:szCs w:val="24"/>
          <w:lang w:val="fr-FR"/>
        </w:rPr>
        <w:t>Le rôle des organisations rurales dans la protection sociale</w:t>
      </w:r>
    </w:p>
    <w:p w14:paraId="1678EC38" w14:textId="7D1EE78B" w:rsidR="00E70C98" w:rsidRPr="00E70C98" w:rsidRDefault="00E70C98" w:rsidP="005D1AD1">
      <w:pPr>
        <w:spacing w:after="60"/>
        <w:jc w:val="center"/>
        <w:rPr>
          <w:rFonts w:asciiTheme="minorHAnsi" w:hAnsiTheme="minorHAnsi"/>
          <w:b/>
          <w:bCs/>
          <w:i/>
          <w:iCs/>
          <w:color w:val="244061" w:themeColor="accent1" w:themeShade="80"/>
          <w:szCs w:val="24"/>
          <w:lang w:val="fr-FR"/>
        </w:rPr>
      </w:pPr>
      <w:r w:rsidRPr="00E70C98">
        <w:rPr>
          <w:rFonts w:asciiTheme="minorHAnsi" w:hAnsiTheme="minorHAnsi"/>
          <w:b/>
          <w:bCs/>
          <w:i/>
          <w:iCs/>
          <w:color w:val="244061" w:themeColor="accent1" w:themeShade="80"/>
          <w:szCs w:val="24"/>
          <w:lang w:val="fr-FR"/>
        </w:rPr>
        <w:t xml:space="preserve">Appel pour un INVENTAIRE des </w:t>
      </w:r>
      <w:r w:rsidR="005D1AD1">
        <w:rPr>
          <w:rFonts w:asciiTheme="minorHAnsi" w:hAnsiTheme="minorHAnsi"/>
          <w:b/>
          <w:bCs/>
          <w:i/>
          <w:iCs/>
          <w:color w:val="244061" w:themeColor="accent1" w:themeShade="80"/>
          <w:szCs w:val="24"/>
          <w:lang w:val="fr-FR"/>
        </w:rPr>
        <w:t xml:space="preserve">bonnes </w:t>
      </w:r>
      <w:r w:rsidRPr="00E70C98">
        <w:rPr>
          <w:rFonts w:asciiTheme="minorHAnsi" w:hAnsiTheme="minorHAnsi"/>
          <w:b/>
          <w:bCs/>
          <w:i/>
          <w:iCs/>
          <w:color w:val="244061" w:themeColor="accent1" w:themeShade="80"/>
          <w:szCs w:val="24"/>
          <w:lang w:val="fr-FR"/>
        </w:rPr>
        <w:t>pratiques</w:t>
      </w:r>
    </w:p>
    <w:p w14:paraId="243443B3" w14:textId="7352CF50" w:rsidR="00E70C98" w:rsidRPr="00E70C98" w:rsidRDefault="00E70C98" w:rsidP="002F4D86">
      <w:pPr>
        <w:spacing w:after="60"/>
        <w:jc w:val="both"/>
        <w:rPr>
          <w:rFonts w:asciiTheme="minorHAnsi" w:hAnsiTheme="minorHAnsi"/>
          <w:sz w:val="22"/>
          <w:lang w:val="fr-FR"/>
        </w:rPr>
      </w:pPr>
      <w:r w:rsidRPr="00E70C98">
        <w:rPr>
          <w:rFonts w:asciiTheme="minorHAnsi" w:hAnsiTheme="minorHAnsi"/>
          <w:sz w:val="22"/>
          <w:lang w:val="fr-FR"/>
        </w:rPr>
        <w:t xml:space="preserve">La protection sociale </w:t>
      </w:r>
      <w:r>
        <w:rPr>
          <w:rFonts w:asciiTheme="minorHAnsi" w:hAnsiTheme="minorHAnsi"/>
          <w:sz w:val="22"/>
          <w:lang w:val="fr-FR"/>
        </w:rPr>
        <w:t xml:space="preserve">(PS) </w:t>
      </w:r>
      <w:r w:rsidRPr="00E70C98">
        <w:rPr>
          <w:rFonts w:asciiTheme="minorHAnsi" w:hAnsiTheme="minorHAnsi"/>
          <w:sz w:val="22"/>
          <w:lang w:val="fr-FR"/>
        </w:rPr>
        <w:t xml:space="preserve">est un ensemble de </w:t>
      </w:r>
      <w:r>
        <w:rPr>
          <w:rFonts w:asciiTheme="minorHAnsi" w:hAnsiTheme="minorHAnsi"/>
          <w:sz w:val="22"/>
          <w:lang w:val="fr-FR"/>
        </w:rPr>
        <w:t xml:space="preserve">mesures d'assistance sociale, </w:t>
      </w:r>
      <w:r w:rsidR="00EE75D6">
        <w:rPr>
          <w:rFonts w:asciiTheme="minorHAnsi" w:hAnsiTheme="minorHAnsi"/>
          <w:sz w:val="22"/>
          <w:lang w:val="fr-FR"/>
        </w:rPr>
        <w:t>d’</w:t>
      </w:r>
      <w:r w:rsidRPr="00E70C98">
        <w:rPr>
          <w:rFonts w:asciiTheme="minorHAnsi" w:hAnsiTheme="minorHAnsi"/>
          <w:sz w:val="22"/>
          <w:lang w:val="fr-FR"/>
        </w:rPr>
        <w:t xml:space="preserve">assurance, </w:t>
      </w:r>
      <w:r w:rsidR="00EE75D6">
        <w:rPr>
          <w:rFonts w:asciiTheme="minorHAnsi" w:hAnsiTheme="minorHAnsi"/>
          <w:sz w:val="22"/>
          <w:lang w:val="fr-FR"/>
        </w:rPr>
        <w:t xml:space="preserve">de </w:t>
      </w:r>
      <w:r w:rsidRPr="00E70C98">
        <w:rPr>
          <w:rFonts w:asciiTheme="minorHAnsi" w:hAnsiTheme="minorHAnsi"/>
          <w:sz w:val="22"/>
          <w:lang w:val="fr-FR"/>
        </w:rPr>
        <w:t>services financiers et sociaux, indi</w:t>
      </w:r>
      <w:r w:rsidR="006A0464">
        <w:rPr>
          <w:rFonts w:asciiTheme="minorHAnsi" w:hAnsiTheme="minorHAnsi"/>
          <w:sz w:val="22"/>
          <w:lang w:val="fr-FR"/>
        </w:rPr>
        <w:t>sp</w:t>
      </w:r>
      <w:r w:rsidRPr="00E70C98">
        <w:rPr>
          <w:rFonts w:asciiTheme="minorHAnsi" w:hAnsiTheme="minorHAnsi"/>
          <w:sz w:val="22"/>
          <w:lang w:val="fr-FR"/>
        </w:rPr>
        <w:t xml:space="preserve">ensables pour soulager la misère, la pauvreté et la vulnérabilité </w:t>
      </w:r>
      <w:r>
        <w:rPr>
          <w:rFonts w:asciiTheme="minorHAnsi" w:hAnsiTheme="minorHAnsi"/>
          <w:sz w:val="22"/>
          <w:lang w:val="fr-FR"/>
        </w:rPr>
        <w:t>des</w:t>
      </w:r>
      <w:r w:rsidRPr="00E70C98">
        <w:rPr>
          <w:rFonts w:asciiTheme="minorHAnsi" w:hAnsiTheme="minorHAnsi"/>
          <w:sz w:val="22"/>
          <w:lang w:val="fr-FR"/>
        </w:rPr>
        <w:t xml:space="preserve"> petits exploitants et </w:t>
      </w:r>
      <w:r>
        <w:rPr>
          <w:rFonts w:asciiTheme="minorHAnsi" w:hAnsiTheme="minorHAnsi"/>
          <w:sz w:val="22"/>
          <w:lang w:val="fr-FR"/>
        </w:rPr>
        <w:t>des</w:t>
      </w:r>
      <w:r w:rsidRPr="00E70C98">
        <w:rPr>
          <w:rFonts w:asciiTheme="minorHAnsi" w:hAnsiTheme="minorHAnsi"/>
          <w:sz w:val="22"/>
          <w:lang w:val="fr-FR"/>
        </w:rPr>
        <w:t xml:space="preserve"> </w:t>
      </w:r>
      <w:r w:rsidR="002F4D86">
        <w:rPr>
          <w:rFonts w:asciiTheme="minorHAnsi" w:hAnsiTheme="minorHAnsi"/>
          <w:sz w:val="22"/>
          <w:lang w:val="fr-FR"/>
        </w:rPr>
        <w:t>travailleurs</w:t>
      </w:r>
      <w:r w:rsidRPr="00E70C98">
        <w:rPr>
          <w:rFonts w:asciiTheme="minorHAnsi" w:hAnsiTheme="minorHAnsi"/>
          <w:sz w:val="22"/>
          <w:lang w:val="fr-FR"/>
        </w:rPr>
        <w:t xml:space="preserve"> agricoles. Les gouvernements adoptent de plus en </w:t>
      </w:r>
      <w:r>
        <w:rPr>
          <w:rFonts w:asciiTheme="minorHAnsi" w:hAnsiTheme="minorHAnsi"/>
          <w:sz w:val="22"/>
          <w:lang w:val="fr-FR"/>
        </w:rPr>
        <w:t>plus la PS</w:t>
      </w:r>
      <w:r w:rsidRPr="00E70C98">
        <w:rPr>
          <w:rFonts w:asciiTheme="minorHAnsi" w:hAnsiTheme="minorHAnsi"/>
          <w:sz w:val="22"/>
          <w:lang w:val="fr-FR"/>
        </w:rPr>
        <w:t xml:space="preserve"> comme une stratégie pour déclencher et soutenir la croissance agricole. Cependant, les institutions en charge de la </w:t>
      </w:r>
      <w:r w:rsidR="000229E1">
        <w:rPr>
          <w:rFonts w:asciiTheme="minorHAnsi" w:hAnsiTheme="minorHAnsi"/>
          <w:sz w:val="22"/>
          <w:lang w:val="fr-FR"/>
        </w:rPr>
        <w:t>PS</w:t>
      </w:r>
      <w:r w:rsidRPr="00E70C98">
        <w:rPr>
          <w:rFonts w:asciiTheme="minorHAnsi" w:hAnsiTheme="minorHAnsi"/>
          <w:sz w:val="22"/>
          <w:lang w:val="fr-FR"/>
        </w:rPr>
        <w:t xml:space="preserve"> dans les pays en </w:t>
      </w:r>
      <w:r w:rsidR="000229E1" w:rsidRPr="00E70C98">
        <w:rPr>
          <w:rFonts w:asciiTheme="minorHAnsi" w:hAnsiTheme="minorHAnsi"/>
          <w:sz w:val="22"/>
          <w:lang w:val="fr-FR"/>
        </w:rPr>
        <w:t>développement ne sont</w:t>
      </w:r>
      <w:r w:rsidRPr="00E70C98">
        <w:rPr>
          <w:rFonts w:asciiTheme="minorHAnsi" w:hAnsiTheme="minorHAnsi"/>
          <w:sz w:val="22"/>
          <w:lang w:val="fr-FR"/>
        </w:rPr>
        <w:t xml:space="preserve"> </w:t>
      </w:r>
      <w:r w:rsidR="00EE75D6" w:rsidRPr="00E70C98">
        <w:rPr>
          <w:rFonts w:asciiTheme="minorHAnsi" w:hAnsiTheme="minorHAnsi"/>
          <w:sz w:val="22"/>
          <w:lang w:val="fr-FR"/>
        </w:rPr>
        <w:t xml:space="preserve">pas </w:t>
      </w:r>
      <w:r w:rsidRPr="00E70C98">
        <w:rPr>
          <w:rFonts w:asciiTheme="minorHAnsi" w:hAnsiTheme="minorHAnsi"/>
          <w:sz w:val="22"/>
          <w:lang w:val="fr-FR"/>
        </w:rPr>
        <w:t>toujours en mesure de satisfaire pleinement l</w:t>
      </w:r>
      <w:r w:rsidR="00EE75D6">
        <w:rPr>
          <w:rFonts w:asciiTheme="minorHAnsi" w:hAnsiTheme="minorHAnsi"/>
          <w:sz w:val="22"/>
          <w:lang w:val="fr-FR"/>
        </w:rPr>
        <w:t xml:space="preserve">es besoins </w:t>
      </w:r>
      <w:r w:rsidRPr="00E70C98">
        <w:rPr>
          <w:rFonts w:asciiTheme="minorHAnsi" w:hAnsiTheme="minorHAnsi"/>
          <w:sz w:val="22"/>
          <w:lang w:val="fr-FR"/>
        </w:rPr>
        <w:t xml:space="preserve">des </w:t>
      </w:r>
      <w:r w:rsidR="000229E1" w:rsidRPr="00E70C98">
        <w:rPr>
          <w:rFonts w:asciiTheme="minorHAnsi" w:hAnsiTheme="minorHAnsi"/>
          <w:sz w:val="22"/>
          <w:lang w:val="fr-FR"/>
        </w:rPr>
        <w:t xml:space="preserve">pauvres </w:t>
      </w:r>
      <w:r w:rsidRPr="00E70C98">
        <w:rPr>
          <w:rFonts w:asciiTheme="minorHAnsi" w:hAnsiTheme="minorHAnsi"/>
          <w:sz w:val="22"/>
          <w:lang w:val="fr-FR"/>
        </w:rPr>
        <w:t xml:space="preserve">ruraux. En particulier, ils ont du mal à assurer une </w:t>
      </w:r>
      <w:r w:rsidRPr="000229E1">
        <w:rPr>
          <w:rFonts w:asciiTheme="minorHAnsi" w:hAnsiTheme="minorHAnsi"/>
          <w:b/>
          <w:bCs/>
          <w:sz w:val="22"/>
          <w:lang w:val="fr-FR"/>
        </w:rPr>
        <w:t>couverture</w:t>
      </w:r>
      <w:r w:rsidRPr="00E70C98">
        <w:rPr>
          <w:rFonts w:asciiTheme="minorHAnsi" w:hAnsiTheme="minorHAnsi"/>
          <w:sz w:val="22"/>
          <w:lang w:val="fr-FR"/>
        </w:rPr>
        <w:t xml:space="preserve"> étendue pour toutes les régions touchées par la pauvreté et l'</w:t>
      </w:r>
      <w:r w:rsidRPr="00C57139">
        <w:rPr>
          <w:rFonts w:asciiTheme="minorHAnsi" w:hAnsiTheme="minorHAnsi"/>
          <w:b/>
          <w:bCs/>
          <w:sz w:val="22"/>
          <w:lang w:val="fr-FR"/>
        </w:rPr>
        <w:t>inclusion</w:t>
      </w:r>
      <w:r w:rsidRPr="00E70C98">
        <w:rPr>
          <w:rFonts w:asciiTheme="minorHAnsi" w:hAnsiTheme="minorHAnsi"/>
          <w:sz w:val="22"/>
          <w:lang w:val="fr-FR"/>
        </w:rPr>
        <w:t xml:space="preserve"> </w:t>
      </w:r>
      <w:r w:rsidR="000229E1">
        <w:rPr>
          <w:rFonts w:asciiTheme="minorHAnsi" w:hAnsiTheme="minorHAnsi"/>
          <w:sz w:val="22"/>
          <w:lang w:val="fr-FR"/>
        </w:rPr>
        <w:t>des</w:t>
      </w:r>
      <w:r w:rsidRPr="00E70C98">
        <w:rPr>
          <w:rFonts w:asciiTheme="minorHAnsi" w:hAnsiTheme="minorHAnsi"/>
          <w:sz w:val="22"/>
          <w:lang w:val="fr-FR"/>
        </w:rPr>
        <w:t xml:space="preserve"> </w:t>
      </w:r>
      <w:r w:rsidR="000229E1" w:rsidRPr="00E70C98">
        <w:rPr>
          <w:rFonts w:asciiTheme="minorHAnsi" w:hAnsiTheme="minorHAnsi"/>
          <w:sz w:val="22"/>
          <w:lang w:val="fr-FR"/>
        </w:rPr>
        <w:t xml:space="preserve">plus pauvres </w:t>
      </w:r>
      <w:r w:rsidR="000229E1">
        <w:rPr>
          <w:rFonts w:asciiTheme="minorHAnsi" w:hAnsiTheme="minorHAnsi"/>
          <w:sz w:val="22"/>
          <w:lang w:val="fr-FR"/>
        </w:rPr>
        <w:t>citoyens</w:t>
      </w:r>
      <w:r w:rsidR="002F4D86" w:rsidRPr="005F2BD1">
        <w:rPr>
          <w:rStyle w:val="FootnoteReference"/>
          <w:rFonts w:asciiTheme="minorHAnsi" w:hAnsiTheme="minorHAnsi"/>
          <w:sz w:val="22"/>
        </w:rPr>
        <w:footnoteReference w:id="2"/>
      </w:r>
      <w:r w:rsidRPr="00E70C98">
        <w:rPr>
          <w:rFonts w:asciiTheme="minorHAnsi" w:hAnsiTheme="minorHAnsi"/>
          <w:sz w:val="22"/>
          <w:lang w:val="fr-FR"/>
        </w:rPr>
        <w:t xml:space="preserve">. En outre, l'OIT signale que les représentants des bénéficiaires, y compris </w:t>
      </w:r>
      <w:r w:rsidR="000229E1">
        <w:rPr>
          <w:rFonts w:asciiTheme="minorHAnsi" w:hAnsiTheme="minorHAnsi"/>
          <w:sz w:val="22"/>
          <w:lang w:val="fr-FR"/>
        </w:rPr>
        <w:t>les</w:t>
      </w:r>
      <w:r w:rsidRPr="00E70C98">
        <w:rPr>
          <w:rFonts w:asciiTheme="minorHAnsi" w:hAnsiTheme="minorHAnsi"/>
          <w:sz w:val="22"/>
          <w:lang w:val="fr-FR"/>
        </w:rPr>
        <w:t xml:space="preserve"> organisations rurales, devraient participer à la conception, la mise en œuvre et le suivi de</w:t>
      </w:r>
      <w:r w:rsidR="000229E1">
        <w:rPr>
          <w:rFonts w:asciiTheme="minorHAnsi" w:hAnsiTheme="minorHAnsi"/>
          <w:sz w:val="22"/>
          <w:lang w:val="fr-FR"/>
        </w:rPr>
        <w:t xml:space="preserve"> la PS</w:t>
      </w:r>
      <w:r w:rsidR="00EE75D6">
        <w:rPr>
          <w:rFonts w:asciiTheme="minorHAnsi" w:hAnsiTheme="minorHAnsi"/>
          <w:sz w:val="22"/>
          <w:lang w:val="fr-FR"/>
        </w:rPr>
        <w:t>,</w:t>
      </w:r>
      <w:r w:rsidRPr="00E70C98">
        <w:rPr>
          <w:rFonts w:asciiTheme="minorHAnsi" w:hAnsiTheme="minorHAnsi"/>
          <w:sz w:val="22"/>
          <w:lang w:val="fr-FR"/>
        </w:rPr>
        <w:t xml:space="preserve"> </w:t>
      </w:r>
      <w:r w:rsidR="000229E1">
        <w:rPr>
          <w:rFonts w:asciiTheme="minorHAnsi" w:hAnsiTheme="minorHAnsi"/>
          <w:sz w:val="22"/>
          <w:lang w:val="fr-FR"/>
        </w:rPr>
        <w:t>au-</w:t>
      </w:r>
      <w:r w:rsidR="000229E1" w:rsidRPr="00E70C98">
        <w:rPr>
          <w:rFonts w:asciiTheme="minorHAnsi" w:hAnsiTheme="minorHAnsi"/>
          <w:sz w:val="22"/>
          <w:lang w:val="fr-FR"/>
        </w:rPr>
        <w:t>delà</w:t>
      </w:r>
      <w:r w:rsidRPr="00E70C98">
        <w:rPr>
          <w:rFonts w:asciiTheme="minorHAnsi" w:hAnsiTheme="minorHAnsi"/>
          <w:sz w:val="22"/>
          <w:lang w:val="fr-FR"/>
        </w:rPr>
        <w:t xml:space="preserve"> de la consultation, afin que les services de</w:t>
      </w:r>
      <w:r w:rsidR="00FF3D80">
        <w:rPr>
          <w:rFonts w:asciiTheme="minorHAnsi" w:hAnsiTheme="minorHAnsi"/>
          <w:sz w:val="22"/>
          <w:lang w:val="fr-FR"/>
        </w:rPr>
        <w:t xml:space="preserve"> PS</w:t>
      </w:r>
      <w:r w:rsidRPr="00E70C98">
        <w:rPr>
          <w:rFonts w:asciiTheme="minorHAnsi" w:hAnsiTheme="minorHAnsi"/>
          <w:sz w:val="22"/>
          <w:lang w:val="fr-FR"/>
        </w:rPr>
        <w:t xml:space="preserve"> soient </w:t>
      </w:r>
      <w:r w:rsidR="00FF3D80" w:rsidRPr="00E70C98">
        <w:rPr>
          <w:rFonts w:asciiTheme="minorHAnsi" w:hAnsiTheme="minorHAnsi"/>
          <w:sz w:val="22"/>
          <w:lang w:val="fr-FR"/>
        </w:rPr>
        <w:t>pertinents</w:t>
      </w:r>
      <w:r w:rsidRPr="00E70C98">
        <w:rPr>
          <w:rFonts w:asciiTheme="minorHAnsi" w:hAnsiTheme="minorHAnsi"/>
          <w:sz w:val="22"/>
          <w:lang w:val="fr-FR"/>
        </w:rPr>
        <w:t xml:space="preserve"> et adéquates aux besoins des bénéficiaires</w:t>
      </w:r>
      <w:r w:rsidR="002F4D86" w:rsidRPr="005F2BD1">
        <w:rPr>
          <w:rStyle w:val="FootnoteReference"/>
          <w:rFonts w:asciiTheme="minorHAnsi" w:hAnsiTheme="minorHAnsi"/>
          <w:sz w:val="22"/>
        </w:rPr>
        <w:footnoteReference w:id="3"/>
      </w:r>
      <w:r w:rsidRPr="00E70C98">
        <w:rPr>
          <w:rFonts w:asciiTheme="minorHAnsi" w:hAnsiTheme="minorHAnsi"/>
          <w:sz w:val="22"/>
          <w:lang w:val="fr-FR"/>
        </w:rPr>
        <w:t>.</w:t>
      </w:r>
    </w:p>
    <w:p w14:paraId="3AF4B08D" w14:textId="289CEA71" w:rsidR="000B3C14" w:rsidRDefault="00F97682" w:rsidP="002F7E7B">
      <w:pPr>
        <w:spacing w:after="60"/>
        <w:jc w:val="both"/>
        <w:rPr>
          <w:rFonts w:asciiTheme="minorHAnsi" w:hAnsiTheme="minorHAnsi"/>
          <w:color w:val="E36C0A" w:themeColor="accent6" w:themeShade="BF"/>
          <w:sz w:val="20"/>
          <w:szCs w:val="20"/>
        </w:rPr>
      </w:pPr>
      <w:r>
        <w:rPr>
          <w:rFonts w:asciiTheme="minorHAnsi" w:hAnsiTheme="minorHAnsi"/>
          <w:bCs/>
          <w:noProof/>
          <w:sz w:val="20"/>
          <w:szCs w:val="20"/>
          <w:lang w:eastAsia="en-GB"/>
        </w:rPr>
      </w:r>
      <w:r>
        <w:rPr>
          <w:rFonts w:asciiTheme="minorHAnsi" w:hAnsiTheme="minorHAnsi"/>
          <w:bCs/>
          <w:noProof/>
          <w:sz w:val="20"/>
          <w:szCs w:val="20"/>
          <w:lang w:eastAsia="en-GB"/>
        </w:rPr>
        <w:pict w14:anchorId="14F50B68">
          <v:shapetype id="_x0000_t202" coordsize="21600,21600" o:spt="202" path="m,l,21600r21600,l21600,xe">
            <v:stroke joinstyle="miter"/>
            <v:path gradientshapeok="t" o:connecttype="rect"/>
          </v:shapetype>
          <v:shape id="Text Box 2" o:spid="_x0000_s1027" type="#_x0000_t202" style="width:453.05pt;height:80.35pt;visibility:visible;mso-left-percent:-10001;mso-top-percent:-10001;mso-position-horizontal:absolute;mso-position-horizontal-relative:char;mso-position-vertical:absolute;mso-position-vertical-relative:line;mso-left-percent:-10001;mso-top-percent:-10001" fillcolor="#8aabd3 [2132]" strokecolor="#243f60 [1604]" strokeweight="1.5pt">
            <v:fill color2="#d6e2f0 [756]" colors="0 #9ab5e4;.5 #c2d1ed;1 #e1e8f5" focus="100%" type="gradient">
              <o:fill v:ext="view" type="gradientUnscaled"/>
            </v:fill>
            <v:textbox>
              <w:txbxContent>
                <w:p w14:paraId="4F6B02F3" w14:textId="3C7EB826" w:rsidR="002F4D86" w:rsidRPr="002F4D86" w:rsidRDefault="002F4D86" w:rsidP="002F4D86">
                  <w:pPr>
                    <w:spacing w:after="60"/>
                    <w:jc w:val="both"/>
                    <w:rPr>
                      <w:rFonts w:asciiTheme="minorHAnsi" w:hAnsiTheme="minorHAnsi"/>
                      <w:bCs/>
                      <w:sz w:val="18"/>
                      <w:szCs w:val="18"/>
                      <w:lang w:val="fr-FR"/>
                    </w:rPr>
                  </w:pPr>
                  <w:r>
                    <w:rPr>
                      <w:rFonts w:asciiTheme="minorHAnsi" w:hAnsiTheme="minorHAnsi"/>
                      <w:bCs/>
                      <w:sz w:val="18"/>
                      <w:szCs w:val="18"/>
                      <w:lang w:val="fr-FR"/>
                    </w:rPr>
                    <w:t xml:space="preserve">Les </w:t>
                  </w:r>
                  <w:r w:rsidRPr="002F4D86">
                    <w:rPr>
                      <w:rFonts w:asciiTheme="minorHAnsi" w:hAnsiTheme="minorHAnsi"/>
                      <w:b/>
                      <w:sz w:val="18"/>
                      <w:szCs w:val="18"/>
                      <w:lang w:val="fr-FR"/>
                    </w:rPr>
                    <w:t>Organisations rurales</w:t>
                  </w:r>
                  <w:r w:rsidR="00EC15C4">
                    <w:rPr>
                      <w:rFonts w:asciiTheme="minorHAnsi" w:hAnsiTheme="minorHAnsi"/>
                      <w:bCs/>
                      <w:sz w:val="18"/>
                      <w:szCs w:val="18"/>
                      <w:lang w:val="fr-FR"/>
                    </w:rPr>
                    <w:t xml:space="preserve"> </w:t>
                  </w:r>
                  <w:r w:rsidRPr="002F4D86">
                    <w:rPr>
                      <w:rFonts w:asciiTheme="minorHAnsi" w:hAnsiTheme="minorHAnsi"/>
                      <w:bCs/>
                      <w:sz w:val="18"/>
                      <w:szCs w:val="18"/>
                      <w:lang w:val="fr-FR"/>
                    </w:rPr>
                    <w:t>sont conçu</w:t>
                  </w:r>
                  <w:r w:rsidR="00EE75D6">
                    <w:rPr>
                      <w:rFonts w:asciiTheme="minorHAnsi" w:hAnsiTheme="minorHAnsi"/>
                      <w:bCs/>
                      <w:sz w:val="18"/>
                      <w:szCs w:val="18"/>
                      <w:lang w:val="fr-FR"/>
                    </w:rPr>
                    <w:t>e</w:t>
                  </w:r>
                  <w:r w:rsidRPr="002F4D86">
                    <w:rPr>
                      <w:rFonts w:asciiTheme="minorHAnsi" w:hAnsiTheme="minorHAnsi"/>
                      <w:bCs/>
                      <w:sz w:val="18"/>
                      <w:szCs w:val="18"/>
                      <w:lang w:val="fr-FR"/>
                    </w:rPr>
                    <w:t>s comme des groupes formels et informels de populations rurales agissant ensemble pour atteindre des objectifs socio-économique</w:t>
                  </w:r>
                  <w:r w:rsidR="00EE75D6">
                    <w:rPr>
                      <w:rFonts w:asciiTheme="minorHAnsi" w:hAnsiTheme="minorHAnsi"/>
                      <w:bCs/>
                      <w:sz w:val="18"/>
                      <w:szCs w:val="18"/>
                      <w:lang w:val="fr-FR"/>
                    </w:rPr>
                    <w:t>s</w:t>
                  </w:r>
                  <w:r w:rsidRPr="002F4D86">
                    <w:rPr>
                      <w:rFonts w:asciiTheme="minorHAnsi" w:hAnsiTheme="minorHAnsi"/>
                      <w:bCs/>
                      <w:sz w:val="18"/>
                      <w:szCs w:val="18"/>
                      <w:lang w:val="fr-FR"/>
                    </w:rPr>
                    <w:t xml:space="preserve"> convenus, améliorant leur accès aux intrants, aux services et </w:t>
                  </w:r>
                  <w:r w:rsidR="00EE75D6">
                    <w:rPr>
                      <w:rFonts w:asciiTheme="minorHAnsi" w:hAnsiTheme="minorHAnsi"/>
                      <w:bCs/>
                      <w:sz w:val="18"/>
                      <w:szCs w:val="18"/>
                      <w:lang w:val="fr-FR"/>
                    </w:rPr>
                    <w:t xml:space="preserve">aux </w:t>
                  </w:r>
                  <w:r w:rsidRPr="002F4D86">
                    <w:rPr>
                      <w:rFonts w:asciiTheme="minorHAnsi" w:hAnsiTheme="minorHAnsi"/>
                      <w:bCs/>
                      <w:sz w:val="18"/>
                      <w:szCs w:val="18"/>
                      <w:lang w:val="fr-FR"/>
                    </w:rPr>
                    <w:t xml:space="preserve">marchés et fournissant un moyen de faire entendre leur voix. </w:t>
                  </w:r>
                  <w:r>
                    <w:rPr>
                      <w:rFonts w:asciiTheme="minorHAnsi" w:hAnsiTheme="minorHAnsi"/>
                      <w:bCs/>
                      <w:sz w:val="18"/>
                      <w:szCs w:val="18"/>
                      <w:lang w:val="fr-FR"/>
                    </w:rPr>
                    <w:t xml:space="preserve">Les </w:t>
                  </w:r>
                  <w:r w:rsidRPr="002F4D86">
                    <w:rPr>
                      <w:rFonts w:asciiTheme="minorHAnsi" w:hAnsiTheme="minorHAnsi"/>
                      <w:bCs/>
                      <w:sz w:val="18"/>
                      <w:szCs w:val="18"/>
                      <w:lang w:val="fr-FR"/>
                    </w:rPr>
                    <w:t xml:space="preserve">OR représentent aussi les petits exploitants ou travailleurs </w:t>
                  </w:r>
                  <w:r w:rsidR="00EE75D6">
                    <w:rPr>
                      <w:rFonts w:asciiTheme="minorHAnsi" w:hAnsiTheme="minorHAnsi"/>
                      <w:bCs/>
                      <w:sz w:val="18"/>
                      <w:szCs w:val="18"/>
                      <w:lang w:val="fr-FR"/>
                    </w:rPr>
                    <w:t xml:space="preserve">ruraux </w:t>
                  </w:r>
                  <w:r w:rsidRPr="002F4D86">
                    <w:rPr>
                      <w:rFonts w:asciiTheme="minorHAnsi" w:hAnsiTheme="minorHAnsi"/>
                      <w:bCs/>
                      <w:sz w:val="18"/>
                      <w:szCs w:val="18"/>
                      <w:lang w:val="fr-FR"/>
                    </w:rPr>
                    <w:t xml:space="preserve">pauvres et vulnérables dont la subsistance dépend principalement </w:t>
                  </w:r>
                  <w:r>
                    <w:rPr>
                      <w:rFonts w:asciiTheme="minorHAnsi" w:hAnsiTheme="minorHAnsi"/>
                      <w:bCs/>
                      <w:sz w:val="18"/>
                      <w:szCs w:val="18"/>
                      <w:lang w:val="fr-FR"/>
                    </w:rPr>
                    <w:t>de</w:t>
                  </w:r>
                  <w:r w:rsidR="00C57139">
                    <w:rPr>
                      <w:rFonts w:asciiTheme="minorHAnsi" w:hAnsiTheme="minorHAnsi"/>
                      <w:bCs/>
                      <w:sz w:val="18"/>
                      <w:szCs w:val="18"/>
                      <w:lang w:val="fr-FR"/>
                    </w:rPr>
                    <w:t>s</w:t>
                  </w:r>
                  <w:r w:rsidRPr="002F4D86">
                    <w:rPr>
                      <w:rFonts w:asciiTheme="minorHAnsi" w:hAnsiTheme="minorHAnsi"/>
                      <w:bCs/>
                      <w:sz w:val="18"/>
                      <w:szCs w:val="18"/>
                      <w:lang w:val="fr-FR"/>
                    </w:rPr>
                    <w:t xml:space="preserve"> activités productives dans les secteurs de l'agriculture, </w:t>
                  </w:r>
                  <w:r w:rsidR="00EE75D6">
                    <w:rPr>
                      <w:rFonts w:asciiTheme="minorHAnsi" w:hAnsiTheme="minorHAnsi"/>
                      <w:bCs/>
                      <w:sz w:val="18"/>
                      <w:szCs w:val="18"/>
                      <w:lang w:val="fr-FR"/>
                    </w:rPr>
                    <w:t xml:space="preserve">de </w:t>
                  </w:r>
                  <w:r w:rsidRPr="002F4D86">
                    <w:rPr>
                      <w:rFonts w:asciiTheme="minorHAnsi" w:hAnsiTheme="minorHAnsi"/>
                      <w:bCs/>
                      <w:sz w:val="18"/>
                      <w:szCs w:val="18"/>
                      <w:lang w:val="fr-FR"/>
                    </w:rPr>
                    <w:t xml:space="preserve">l'élevage, </w:t>
                  </w:r>
                  <w:r w:rsidR="00EE75D6">
                    <w:rPr>
                      <w:rFonts w:asciiTheme="minorHAnsi" w:hAnsiTheme="minorHAnsi"/>
                      <w:bCs/>
                      <w:sz w:val="18"/>
                      <w:szCs w:val="18"/>
                      <w:lang w:val="fr-FR"/>
                    </w:rPr>
                    <w:t xml:space="preserve">de </w:t>
                  </w:r>
                  <w:r w:rsidRPr="002F4D86">
                    <w:rPr>
                      <w:rFonts w:asciiTheme="minorHAnsi" w:hAnsiTheme="minorHAnsi"/>
                      <w:bCs/>
                      <w:sz w:val="18"/>
                      <w:szCs w:val="18"/>
                      <w:lang w:val="fr-FR"/>
                    </w:rPr>
                    <w:t xml:space="preserve">la pêche et </w:t>
                  </w:r>
                  <w:r w:rsidR="00EE75D6">
                    <w:rPr>
                      <w:rFonts w:asciiTheme="minorHAnsi" w:hAnsiTheme="minorHAnsi"/>
                      <w:bCs/>
                      <w:sz w:val="18"/>
                      <w:szCs w:val="18"/>
                      <w:lang w:val="fr-FR"/>
                    </w:rPr>
                    <w:t xml:space="preserve">de </w:t>
                  </w:r>
                  <w:r w:rsidRPr="002F4D86">
                    <w:rPr>
                      <w:rFonts w:asciiTheme="minorHAnsi" w:hAnsiTheme="minorHAnsi"/>
                      <w:bCs/>
                      <w:sz w:val="18"/>
                      <w:szCs w:val="18"/>
                      <w:lang w:val="fr-FR"/>
                    </w:rPr>
                    <w:t>la foresterie. Ces membres sont les bénéficiaires potentiels de</w:t>
                  </w:r>
                  <w:r w:rsidR="00C57139">
                    <w:rPr>
                      <w:rFonts w:asciiTheme="minorHAnsi" w:hAnsiTheme="minorHAnsi"/>
                      <w:bCs/>
                      <w:sz w:val="18"/>
                      <w:szCs w:val="18"/>
                      <w:lang w:val="fr-FR"/>
                    </w:rPr>
                    <w:t>s</w:t>
                  </w:r>
                  <w:r w:rsidRPr="002F4D86">
                    <w:rPr>
                      <w:rFonts w:asciiTheme="minorHAnsi" w:hAnsiTheme="minorHAnsi"/>
                      <w:bCs/>
                      <w:sz w:val="18"/>
                      <w:szCs w:val="18"/>
                      <w:lang w:val="fr-FR"/>
                    </w:rPr>
                    <w:t xml:space="preserve"> programmes de protection sociale.</w:t>
                  </w:r>
                </w:p>
                <w:p w14:paraId="6ED729C9" w14:textId="77777777" w:rsidR="002F4D86" w:rsidRPr="002F4D86" w:rsidRDefault="002F4D86" w:rsidP="000B3C14">
                  <w:pPr>
                    <w:spacing w:after="60"/>
                    <w:jc w:val="both"/>
                    <w:rPr>
                      <w:rFonts w:asciiTheme="minorHAnsi" w:hAnsiTheme="minorHAnsi"/>
                      <w:bCs/>
                      <w:sz w:val="18"/>
                      <w:szCs w:val="18"/>
                      <w:lang w:val="fr-FR"/>
                    </w:rPr>
                  </w:pPr>
                </w:p>
              </w:txbxContent>
            </v:textbox>
            <w10:wrap type="none"/>
            <w10:anchorlock/>
          </v:shape>
        </w:pict>
      </w:r>
    </w:p>
    <w:p w14:paraId="66D405F9" w14:textId="1E0B12E8" w:rsidR="00C57139" w:rsidRPr="00C57139" w:rsidRDefault="00C57139" w:rsidP="00C57139">
      <w:pPr>
        <w:spacing w:after="60"/>
        <w:jc w:val="both"/>
        <w:rPr>
          <w:rFonts w:asciiTheme="minorHAnsi" w:hAnsiTheme="minorHAnsi"/>
          <w:sz w:val="22"/>
          <w:lang w:val="fr-FR"/>
        </w:rPr>
      </w:pPr>
      <w:r>
        <w:rPr>
          <w:rFonts w:asciiTheme="minorHAnsi" w:hAnsiTheme="minorHAnsi"/>
          <w:sz w:val="22"/>
          <w:lang w:val="fr-FR"/>
        </w:rPr>
        <w:t>Les Organisations rurales (OR) peuvent</w:t>
      </w:r>
      <w:r w:rsidRPr="00C57139">
        <w:rPr>
          <w:rFonts w:asciiTheme="minorHAnsi" w:hAnsiTheme="minorHAnsi"/>
          <w:sz w:val="22"/>
          <w:lang w:val="fr-FR"/>
        </w:rPr>
        <w:t xml:space="preserve"> contribuer à fournir </w:t>
      </w:r>
      <w:r>
        <w:rPr>
          <w:rFonts w:asciiTheme="minorHAnsi" w:hAnsiTheme="minorHAnsi"/>
          <w:sz w:val="22"/>
          <w:lang w:val="fr-FR"/>
        </w:rPr>
        <w:t>la</w:t>
      </w:r>
      <w:r w:rsidRPr="00C57139">
        <w:rPr>
          <w:rFonts w:asciiTheme="minorHAnsi" w:hAnsiTheme="minorHAnsi"/>
          <w:sz w:val="22"/>
          <w:lang w:val="fr-FR"/>
        </w:rPr>
        <w:t xml:space="preserve"> </w:t>
      </w:r>
      <w:r>
        <w:rPr>
          <w:rFonts w:asciiTheme="minorHAnsi" w:hAnsiTheme="minorHAnsi"/>
          <w:sz w:val="22"/>
          <w:lang w:val="fr-FR"/>
        </w:rPr>
        <w:t>PS</w:t>
      </w:r>
      <w:r w:rsidRPr="00C57139">
        <w:rPr>
          <w:rFonts w:asciiTheme="minorHAnsi" w:hAnsiTheme="minorHAnsi"/>
          <w:sz w:val="22"/>
          <w:lang w:val="fr-FR"/>
        </w:rPr>
        <w:t xml:space="preserve"> en tant que fournisseur</w:t>
      </w:r>
      <w:r w:rsidR="00EE75D6">
        <w:rPr>
          <w:rFonts w:asciiTheme="minorHAnsi" w:hAnsiTheme="minorHAnsi"/>
          <w:sz w:val="22"/>
          <w:lang w:val="fr-FR"/>
        </w:rPr>
        <w:t>s</w:t>
      </w:r>
      <w:r w:rsidRPr="00C57139">
        <w:rPr>
          <w:rFonts w:asciiTheme="minorHAnsi" w:hAnsiTheme="minorHAnsi"/>
          <w:sz w:val="22"/>
          <w:lang w:val="fr-FR"/>
        </w:rPr>
        <w:t xml:space="preserve"> de service</w:t>
      </w:r>
      <w:r w:rsidR="00EE75D6">
        <w:rPr>
          <w:rFonts w:asciiTheme="minorHAnsi" w:hAnsiTheme="minorHAnsi"/>
          <w:sz w:val="22"/>
          <w:lang w:val="fr-FR"/>
        </w:rPr>
        <w:t>s</w:t>
      </w:r>
      <w:r w:rsidRPr="00C57139">
        <w:rPr>
          <w:rFonts w:asciiTheme="minorHAnsi" w:hAnsiTheme="minorHAnsi"/>
          <w:sz w:val="22"/>
          <w:lang w:val="fr-FR"/>
        </w:rPr>
        <w:t xml:space="preserve"> pour 1) l'État, en effectuant des tâches au sein des systèmes nationaux de </w:t>
      </w:r>
      <w:r>
        <w:rPr>
          <w:rFonts w:asciiTheme="minorHAnsi" w:hAnsiTheme="minorHAnsi"/>
          <w:sz w:val="22"/>
          <w:lang w:val="fr-FR"/>
        </w:rPr>
        <w:t>PS</w:t>
      </w:r>
      <w:r w:rsidR="00EE75D6">
        <w:rPr>
          <w:rFonts w:asciiTheme="minorHAnsi" w:hAnsiTheme="minorHAnsi"/>
          <w:sz w:val="22"/>
          <w:lang w:val="fr-FR"/>
        </w:rPr>
        <w:t>,</w:t>
      </w:r>
      <w:r w:rsidRPr="00C57139">
        <w:rPr>
          <w:rFonts w:asciiTheme="minorHAnsi" w:hAnsiTheme="minorHAnsi"/>
          <w:sz w:val="22"/>
          <w:lang w:val="fr-FR"/>
        </w:rPr>
        <w:t xml:space="preserve"> à travers des mécanismes participatifs; et 2) leurs membres, en effectuant des prati</w:t>
      </w:r>
      <w:r w:rsidR="004A0510">
        <w:rPr>
          <w:rFonts w:asciiTheme="minorHAnsi" w:hAnsiTheme="minorHAnsi"/>
          <w:sz w:val="22"/>
          <w:lang w:val="fr-FR"/>
        </w:rPr>
        <w:t xml:space="preserve">ques collectives de gestion des </w:t>
      </w:r>
      <w:r w:rsidRPr="00C57139">
        <w:rPr>
          <w:rFonts w:asciiTheme="minorHAnsi" w:hAnsiTheme="minorHAnsi"/>
          <w:sz w:val="22"/>
          <w:lang w:val="fr-FR"/>
        </w:rPr>
        <w:t>risques et d'assistance mutuelle.</w:t>
      </w:r>
    </w:p>
    <w:p w14:paraId="7F093AC9" w14:textId="5C6253BB" w:rsidR="00C57139" w:rsidRPr="00C57139" w:rsidRDefault="00EE75D6" w:rsidP="004A0510">
      <w:pPr>
        <w:spacing w:after="60"/>
        <w:jc w:val="both"/>
        <w:rPr>
          <w:rFonts w:asciiTheme="minorHAnsi" w:hAnsiTheme="minorHAnsi"/>
          <w:sz w:val="22"/>
          <w:lang w:val="fr-FR"/>
        </w:rPr>
      </w:pPr>
      <w:r>
        <w:rPr>
          <w:rFonts w:asciiTheme="minorHAnsi" w:hAnsiTheme="minorHAnsi"/>
          <w:sz w:val="22"/>
          <w:lang w:val="fr-FR"/>
        </w:rPr>
        <w:t>L’</w:t>
      </w:r>
      <w:r w:rsidR="00C57139" w:rsidRPr="00C57139">
        <w:rPr>
          <w:rFonts w:asciiTheme="minorHAnsi" w:hAnsiTheme="minorHAnsi"/>
          <w:sz w:val="22"/>
          <w:lang w:val="fr-FR"/>
        </w:rPr>
        <w:t xml:space="preserve">évaluation des programmes de </w:t>
      </w:r>
      <w:r w:rsidR="004A0510">
        <w:rPr>
          <w:rFonts w:asciiTheme="minorHAnsi" w:hAnsiTheme="minorHAnsi"/>
          <w:sz w:val="22"/>
          <w:lang w:val="fr-FR"/>
        </w:rPr>
        <w:t>PS</w:t>
      </w:r>
      <w:r w:rsidR="00C57139" w:rsidRPr="00C57139">
        <w:rPr>
          <w:rFonts w:asciiTheme="minorHAnsi" w:hAnsiTheme="minorHAnsi"/>
          <w:sz w:val="22"/>
          <w:lang w:val="fr-FR"/>
        </w:rPr>
        <w:t xml:space="preserve"> se concentre rarement sur les </w:t>
      </w:r>
      <w:r w:rsidR="004A0510" w:rsidRPr="004A0510">
        <w:rPr>
          <w:rFonts w:asciiTheme="minorHAnsi" w:hAnsiTheme="minorHAnsi"/>
          <w:b/>
          <w:bCs/>
          <w:sz w:val="22"/>
          <w:lang w:val="fr-FR"/>
        </w:rPr>
        <w:t>cadres</w:t>
      </w:r>
      <w:r w:rsidR="00C57139" w:rsidRPr="004A0510">
        <w:rPr>
          <w:rFonts w:asciiTheme="minorHAnsi" w:hAnsiTheme="minorHAnsi"/>
          <w:b/>
          <w:bCs/>
          <w:sz w:val="22"/>
          <w:lang w:val="fr-FR"/>
        </w:rPr>
        <w:t xml:space="preserve"> institutionnels locaux</w:t>
      </w:r>
      <w:r w:rsidR="00C57139" w:rsidRPr="00C57139">
        <w:rPr>
          <w:rFonts w:asciiTheme="minorHAnsi" w:hAnsiTheme="minorHAnsi"/>
          <w:sz w:val="22"/>
          <w:lang w:val="fr-FR"/>
        </w:rPr>
        <w:t xml:space="preserve"> qui devraient être mis en place pour </w:t>
      </w:r>
      <w:r>
        <w:rPr>
          <w:rFonts w:asciiTheme="minorHAnsi" w:hAnsiTheme="minorHAnsi"/>
          <w:sz w:val="22"/>
          <w:lang w:val="fr-FR"/>
        </w:rPr>
        <w:t>fournir une PS efficiente</w:t>
      </w:r>
      <w:r w:rsidR="00C57139" w:rsidRPr="00C57139">
        <w:rPr>
          <w:rFonts w:asciiTheme="minorHAnsi" w:hAnsiTheme="minorHAnsi"/>
          <w:sz w:val="22"/>
          <w:lang w:val="fr-FR"/>
        </w:rPr>
        <w:t xml:space="preserve">. En conséquence, la </w:t>
      </w:r>
      <w:r w:rsidR="004A0510">
        <w:rPr>
          <w:rFonts w:asciiTheme="minorHAnsi" w:hAnsiTheme="minorHAnsi"/>
          <w:sz w:val="22"/>
          <w:lang w:val="fr-FR"/>
        </w:rPr>
        <w:t xml:space="preserve">rare </w:t>
      </w:r>
      <w:r w:rsidR="00C57139" w:rsidRPr="00C57139">
        <w:rPr>
          <w:rFonts w:asciiTheme="minorHAnsi" w:hAnsiTheme="minorHAnsi"/>
          <w:sz w:val="22"/>
          <w:lang w:val="fr-FR"/>
        </w:rPr>
        <w:t xml:space="preserve">littérature </w:t>
      </w:r>
      <w:r w:rsidR="004A0510">
        <w:rPr>
          <w:rFonts w:asciiTheme="minorHAnsi" w:hAnsiTheme="minorHAnsi"/>
          <w:sz w:val="22"/>
          <w:lang w:val="fr-FR"/>
        </w:rPr>
        <w:t>existant</w:t>
      </w:r>
      <w:r w:rsidR="000772A8">
        <w:rPr>
          <w:rFonts w:asciiTheme="minorHAnsi" w:hAnsiTheme="minorHAnsi"/>
          <w:sz w:val="22"/>
          <w:lang w:val="fr-FR"/>
        </w:rPr>
        <w:t>e</w:t>
      </w:r>
      <w:r w:rsidR="00C57139" w:rsidRPr="00C57139">
        <w:rPr>
          <w:rFonts w:asciiTheme="minorHAnsi" w:hAnsiTheme="minorHAnsi"/>
          <w:sz w:val="22"/>
          <w:lang w:val="fr-FR"/>
        </w:rPr>
        <w:t xml:space="preserve"> est </w:t>
      </w:r>
      <w:r w:rsidR="004A0510" w:rsidRPr="00C57139">
        <w:rPr>
          <w:rFonts w:asciiTheme="minorHAnsi" w:hAnsiTheme="minorHAnsi"/>
          <w:sz w:val="22"/>
          <w:lang w:val="fr-FR"/>
        </w:rPr>
        <w:t>insuffisante</w:t>
      </w:r>
      <w:r w:rsidR="00C57139" w:rsidRPr="00C57139">
        <w:rPr>
          <w:rFonts w:asciiTheme="minorHAnsi" w:hAnsiTheme="minorHAnsi"/>
          <w:sz w:val="22"/>
          <w:lang w:val="fr-FR"/>
        </w:rPr>
        <w:t xml:space="preserve"> pour comprendre la contribution </w:t>
      </w:r>
      <w:r w:rsidR="004A0510">
        <w:rPr>
          <w:rFonts w:asciiTheme="minorHAnsi" w:hAnsiTheme="minorHAnsi"/>
          <w:sz w:val="22"/>
          <w:lang w:val="fr-FR"/>
        </w:rPr>
        <w:t>effective</w:t>
      </w:r>
      <w:r w:rsidR="00C57139" w:rsidRPr="00C57139">
        <w:rPr>
          <w:rFonts w:asciiTheme="minorHAnsi" w:hAnsiTheme="minorHAnsi"/>
          <w:sz w:val="22"/>
          <w:lang w:val="fr-FR"/>
        </w:rPr>
        <w:t xml:space="preserve"> et potentielle des OR dans la gamme des institutions qui sont ou devraient être impliqués. Cette étude vise à co</w:t>
      </w:r>
      <w:r w:rsidR="004A0510">
        <w:rPr>
          <w:rFonts w:asciiTheme="minorHAnsi" w:hAnsiTheme="minorHAnsi"/>
          <w:sz w:val="22"/>
          <w:lang w:val="fr-FR"/>
        </w:rPr>
        <w:t>mbler cette lacune en documentant</w:t>
      </w:r>
      <w:r w:rsidR="00C57139" w:rsidRPr="00C57139">
        <w:rPr>
          <w:rFonts w:asciiTheme="minorHAnsi" w:hAnsiTheme="minorHAnsi"/>
          <w:sz w:val="22"/>
          <w:lang w:val="fr-FR"/>
        </w:rPr>
        <w:t xml:space="preserve"> les expériences et les bonnes pratiques des pays en développement</w:t>
      </w:r>
      <w:r w:rsidR="000772A8">
        <w:rPr>
          <w:rFonts w:asciiTheme="minorHAnsi" w:hAnsiTheme="minorHAnsi"/>
          <w:sz w:val="22"/>
          <w:lang w:val="fr-FR"/>
        </w:rPr>
        <w:t>,</w:t>
      </w:r>
      <w:r w:rsidR="00C57139" w:rsidRPr="00C57139">
        <w:rPr>
          <w:rFonts w:asciiTheme="minorHAnsi" w:hAnsiTheme="minorHAnsi"/>
          <w:sz w:val="22"/>
          <w:lang w:val="fr-FR"/>
        </w:rPr>
        <w:t xml:space="preserve"> afin de produire des données pour </w:t>
      </w:r>
      <w:r w:rsidR="004A0510">
        <w:rPr>
          <w:rFonts w:asciiTheme="minorHAnsi" w:hAnsiTheme="minorHAnsi"/>
          <w:sz w:val="22"/>
          <w:lang w:val="fr-FR"/>
        </w:rPr>
        <w:t>la formulation</w:t>
      </w:r>
      <w:r w:rsidR="00C57139" w:rsidRPr="00C57139">
        <w:rPr>
          <w:rFonts w:asciiTheme="minorHAnsi" w:hAnsiTheme="minorHAnsi"/>
          <w:sz w:val="22"/>
          <w:lang w:val="fr-FR"/>
        </w:rPr>
        <w:t xml:space="preserve"> de politiques. Cette étude est aligné</w:t>
      </w:r>
      <w:r w:rsidR="000772A8">
        <w:rPr>
          <w:rFonts w:asciiTheme="minorHAnsi" w:hAnsiTheme="minorHAnsi"/>
          <w:sz w:val="22"/>
          <w:lang w:val="fr-FR"/>
        </w:rPr>
        <w:t>e</w:t>
      </w:r>
      <w:r w:rsidR="00C57139" w:rsidRPr="00C57139">
        <w:rPr>
          <w:rFonts w:asciiTheme="minorHAnsi" w:hAnsiTheme="minorHAnsi"/>
          <w:sz w:val="22"/>
          <w:lang w:val="fr-FR"/>
        </w:rPr>
        <w:t xml:space="preserve"> avec l'objectif de la FAO </w:t>
      </w:r>
      <w:r w:rsidR="004A0510">
        <w:rPr>
          <w:rFonts w:asciiTheme="minorHAnsi" w:hAnsiTheme="minorHAnsi"/>
          <w:sz w:val="22"/>
          <w:lang w:val="fr-FR"/>
        </w:rPr>
        <w:t>d</w:t>
      </w:r>
      <w:r w:rsidR="000772A8">
        <w:rPr>
          <w:rFonts w:asciiTheme="minorHAnsi" w:hAnsiTheme="minorHAnsi"/>
          <w:sz w:val="22"/>
          <w:lang w:val="fr-FR"/>
        </w:rPr>
        <w:t>’</w:t>
      </w:r>
      <w:r w:rsidR="00C57139" w:rsidRPr="00C57139">
        <w:rPr>
          <w:rFonts w:asciiTheme="minorHAnsi" w:hAnsiTheme="minorHAnsi"/>
          <w:sz w:val="22"/>
          <w:lang w:val="fr-FR"/>
        </w:rPr>
        <w:t xml:space="preserve">accroître ses connaissances sur </w:t>
      </w:r>
      <w:r w:rsidR="004A0510">
        <w:rPr>
          <w:rFonts w:asciiTheme="minorHAnsi" w:hAnsiTheme="minorHAnsi"/>
          <w:sz w:val="22"/>
          <w:lang w:val="fr-FR"/>
        </w:rPr>
        <w:t xml:space="preserve">la PS et </w:t>
      </w:r>
      <w:r w:rsidR="000772A8">
        <w:rPr>
          <w:rFonts w:asciiTheme="minorHAnsi" w:hAnsiTheme="minorHAnsi"/>
          <w:sz w:val="22"/>
          <w:lang w:val="fr-FR"/>
        </w:rPr>
        <w:t>de fournir des informations sur la conception</w:t>
      </w:r>
      <w:r w:rsidR="004A0510">
        <w:rPr>
          <w:rFonts w:asciiTheme="minorHAnsi" w:hAnsiTheme="minorHAnsi"/>
          <w:sz w:val="22"/>
          <w:lang w:val="fr-FR"/>
        </w:rPr>
        <w:t xml:space="preserve"> </w:t>
      </w:r>
      <w:r w:rsidR="00C57139" w:rsidRPr="00C57139">
        <w:rPr>
          <w:rFonts w:asciiTheme="minorHAnsi" w:hAnsiTheme="minorHAnsi"/>
          <w:sz w:val="22"/>
          <w:lang w:val="fr-FR"/>
        </w:rPr>
        <w:t xml:space="preserve">de systèmes de </w:t>
      </w:r>
      <w:r w:rsidR="004A0510">
        <w:rPr>
          <w:rFonts w:asciiTheme="minorHAnsi" w:hAnsiTheme="minorHAnsi"/>
          <w:sz w:val="22"/>
          <w:lang w:val="fr-FR"/>
        </w:rPr>
        <w:t>PS</w:t>
      </w:r>
      <w:r w:rsidR="00C57139" w:rsidRPr="00C57139">
        <w:rPr>
          <w:rFonts w:asciiTheme="minorHAnsi" w:hAnsiTheme="minorHAnsi"/>
          <w:sz w:val="22"/>
          <w:lang w:val="fr-FR"/>
        </w:rPr>
        <w:t xml:space="preserve"> pour réduire la pauvreté et assurer la sécurité alimentaire et la nutrition</w:t>
      </w:r>
      <w:r w:rsidR="00144A6A" w:rsidRPr="005F2BD1">
        <w:rPr>
          <w:rStyle w:val="FootnoteReference"/>
          <w:rFonts w:asciiTheme="minorHAnsi" w:hAnsiTheme="minorHAnsi"/>
          <w:sz w:val="22"/>
        </w:rPr>
        <w:footnoteReference w:id="4"/>
      </w:r>
      <w:r w:rsidR="004A0510">
        <w:rPr>
          <w:rFonts w:asciiTheme="minorHAnsi" w:hAnsiTheme="minorHAnsi"/>
          <w:sz w:val="22"/>
          <w:lang w:val="fr-FR"/>
        </w:rPr>
        <w:t xml:space="preserve">, </w:t>
      </w:r>
      <w:r w:rsidR="00C57139" w:rsidRPr="00C57139">
        <w:rPr>
          <w:rFonts w:asciiTheme="minorHAnsi" w:hAnsiTheme="minorHAnsi"/>
          <w:sz w:val="22"/>
          <w:lang w:val="fr-FR"/>
        </w:rPr>
        <w:t xml:space="preserve"> </w:t>
      </w:r>
      <w:r w:rsidR="000772A8">
        <w:rPr>
          <w:rFonts w:asciiTheme="minorHAnsi" w:hAnsiTheme="minorHAnsi"/>
          <w:sz w:val="22"/>
          <w:lang w:val="fr-FR"/>
        </w:rPr>
        <w:t>sous l’O</w:t>
      </w:r>
      <w:r w:rsidR="00144A6A">
        <w:rPr>
          <w:rFonts w:asciiTheme="minorHAnsi" w:hAnsiTheme="minorHAnsi"/>
          <w:sz w:val="22"/>
          <w:lang w:val="fr-FR"/>
        </w:rPr>
        <w:t xml:space="preserve">bjectif </w:t>
      </w:r>
      <w:r w:rsidR="000772A8">
        <w:rPr>
          <w:rFonts w:asciiTheme="minorHAnsi" w:hAnsiTheme="minorHAnsi"/>
          <w:sz w:val="22"/>
          <w:lang w:val="fr-FR"/>
        </w:rPr>
        <w:t>S</w:t>
      </w:r>
      <w:r w:rsidR="00144A6A">
        <w:rPr>
          <w:rFonts w:asciiTheme="minorHAnsi" w:hAnsiTheme="minorHAnsi"/>
          <w:sz w:val="22"/>
          <w:lang w:val="fr-FR"/>
        </w:rPr>
        <w:t>tratégique 3 "Réduire la P</w:t>
      </w:r>
      <w:r w:rsidR="00C57139" w:rsidRPr="00C57139">
        <w:rPr>
          <w:rFonts w:asciiTheme="minorHAnsi" w:hAnsiTheme="minorHAnsi"/>
          <w:sz w:val="22"/>
          <w:lang w:val="fr-FR"/>
        </w:rPr>
        <w:t xml:space="preserve">auvreté </w:t>
      </w:r>
      <w:r w:rsidR="00144A6A">
        <w:rPr>
          <w:rFonts w:asciiTheme="minorHAnsi" w:hAnsiTheme="minorHAnsi"/>
          <w:sz w:val="22"/>
          <w:lang w:val="fr-FR"/>
        </w:rPr>
        <w:t>R</w:t>
      </w:r>
      <w:r w:rsidR="00C57139" w:rsidRPr="00C57139">
        <w:rPr>
          <w:rFonts w:asciiTheme="minorHAnsi" w:hAnsiTheme="minorHAnsi"/>
          <w:sz w:val="22"/>
          <w:lang w:val="fr-FR"/>
        </w:rPr>
        <w:t>urale".</w:t>
      </w:r>
    </w:p>
    <w:p w14:paraId="73435B28" w14:textId="43330845" w:rsidR="00F734C6" w:rsidRPr="005D1AD1" w:rsidRDefault="0040487B" w:rsidP="005D1AD1">
      <w:pPr>
        <w:spacing w:after="60"/>
        <w:jc w:val="both"/>
        <w:rPr>
          <w:rFonts w:asciiTheme="minorHAnsi" w:hAnsiTheme="minorHAnsi"/>
          <w:b/>
          <w:bCs/>
          <w:i/>
          <w:iCs/>
          <w:color w:val="244061" w:themeColor="accent1" w:themeShade="80"/>
          <w:sz w:val="22"/>
          <w:lang w:val="fr-FR"/>
        </w:rPr>
      </w:pPr>
      <w:r>
        <w:rPr>
          <w:rFonts w:asciiTheme="minorHAnsi" w:hAnsiTheme="minorHAnsi"/>
          <w:b/>
          <w:bCs/>
          <w:i/>
          <w:iCs/>
          <w:color w:val="244061" w:themeColor="accent1" w:themeShade="80"/>
          <w:sz w:val="22"/>
          <w:lang w:val="fr-FR"/>
        </w:rPr>
        <w:t>Justificati</w:t>
      </w:r>
      <w:r w:rsidR="000772A8">
        <w:rPr>
          <w:rFonts w:asciiTheme="minorHAnsi" w:hAnsiTheme="minorHAnsi"/>
          <w:b/>
          <w:bCs/>
          <w:i/>
          <w:iCs/>
          <w:color w:val="244061" w:themeColor="accent1" w:themeShade="80"/>
          <w:sz w:val="22"/>
          <w:lang w:val="fr-FR"/>
        </w:rPr>
        <w:t>on</w:t>
      </w:r>
    </w:p>
    <w:p w14:paraId="5DF9ED65" w14:textId="1D8E970C" w:rsidR="005D1AD1" w:rsidRPr="001F4002" w:rsidRDefault="000772A8" w:rsidP="005D1AD1">
      <w:pPr>
        <w:pStyle w:val="ListParagraph"/>
        <w:numPr>
          <w:ilvl w:val="0"/>
          <w:numId w:val="16"/>
        </w:numPr>
        <w:spacing w:after="60"/>
        <w:contextualSpacing w:val="0"/>
        <w:jc w:val="both"/>
        <w:rPr>
          <w:rFonts w:asciiTheme="minorHAnsi" w:hAnsiTheme="minorHAnsi"/>
          <w:sz w:val="22"/>
          <w:lang w:val="fr-FR"/>
        </w:rPr>
      </w:pPr>
      <w:r>
        <w:rPr>
          <w:rFonts w:asciiTheme="minorHAnsi" w:hAnsiTheme="minorHAnsi"/>
          <w:sz w:val="22"/>
          <w:lang w:val="fr-FR"/>
        </w:rPr>
        <w:t>Les OR</w:t>
      </w:r>
      <w:r w:rsidRPr="00F734C6">
        <w:rPr>
          <w:rFonts w:asciiTheme="minorHAnsi" w:hAnsiTheme="minorHAnsi"/>
          <w:sz w:val="22"/>
          <w:lang w:val="fr-FR"/>
        </w:rPr>
        <w:t xml:space="preserve"> </w:t>
      </w:r>
      <w:r w:rsidR="005D1AD1" w:rsidRPr="00F734C6">
        <w:rPr>
          <w:rFonts w:asciiTheme="minorHAnsi" w:hAnsiTheme="minorHAnsi"/>
          <w:sz w:val="22"/>
          <w:lang w:val="fr-FR"/>
        </w:rPr>
        <w:t xml:space="preserve">peuvent représenter les pauvres ruraux </w:t>
      </w:r>
      <w:r>
        <w:rPr>
          <w:rFonts w:asciiTheme="minorHAnsi" w:hAnsiTheme="minorHAnsi"/>
          <w:sz w:val="22"/>
          <w:lang w:val="fr-FR"/>
        </w:rPr>
        <w:t>aux</w:t>
      </w:r>
      <w:r w:rsidRPr="00F734C6">
        <w:rPr>
          <w:rFonts w:asciiTheme="minorHAnsi" w:hAnsiTheme="minorHAnsi"/>
          <w:sz w:val="22"/>
          <w:lang w:val="fr-FR"/>
        </w:rPr>
        <w:t xml:space="preserve"> </w:t>
      </w:r>
      <w:r w:rsidR="005D1AD1" w:rsidRPr="00F734C6">
        <w:rPr>
          <w:rFonts w:asciiTheme="minorHAnsi" w:hAnsiTheme="minorHAnsi"/>
          <w:sz w:val="22"/>
          <w:lang w:val="fr-FR"/>
        </w:rPr>
        <w:t xml:space="preserve">niveaux </w:t>
      </w:r>
      <w:r w:rsidR="005D1AD1">
        <w:rPr>
          <w:rFonts w:asciiTheme="minorHAnsi" w:hAnsiTheme="minorHAnsi"/>
          <w:sz w:val="22"/>
          <w:lang w:val="fr-FR"/>
        </w:rPr>
        <w:t xml:space="preserve">administratifs </w:t>
      </w:r>
      <w:r w:rsidR="005D1AD1" w:rsidRPr="00F734C6">
        <w:rPr>
          <w:rFonts w:asciiTheme="minorHAnsi" w:hAnsiTheme="minorHAnsi"/>
          <w:sz w:val="22"/>
          <w:lang w:val="fr-FR"/>
        </w:rPr>
        <w:t xml:space="preserve">supérieurs et de </w:t>
      </w:r>
      <w:r>
        <w:rPr>
          <w:rFonts w:asciiTheme="minorHAnsi" w:hAnsiTheme="minorHAnsi"/>
          <w:sz w:val="22"/>
          <w:lang w:val="fr-FR"/>
        </w:rPr>
        <w:t>plaidoyer</w:t>
      </w:r>
      <w:r w:rsidRPr="00F734C6">
        <w:rPr>
          <w:rFonts w:asciiTheme="minorHAnsi" w:hAnsiTheme="minorHAnsi"/>
          <w:sz w:val="22"/>
          <w:lang w:val="fr-FR"/>
        </w:rPr>
        <w:t xml:space="preserve"> </w:t>
      </w:r>
      <w:r w:rsidR="005D1AD1" w:rsidRPr="00F734C6">
        <w:rPr>
          <w:rFonts w:asciiTheme="minorHAnsi" w:hAnsiTheme="minorHAnsi"/>
          <w:sz w:val="22"/>
          <w:lang w:val="fr-FR"/>
        </w:rPr>
        <w:t xml:space="preserve">pour leurs besoins, </w:t>
      </w:r>
      <w:r>
        <w:rPr>
          <w:rFonts w:asciiTheme="minorHAnsi" w:hAnsiTheme="minorHAnsi"/>
          <w:sz w:val="22"/>
          <w:lang w:val="fr-FR"/>
        </w:rPr>
        <w:t>tout en ayant</w:t>
      </w:r>
      <w:r w:rsidRPr="00F734C6">
        <w:rPr>
          <w:rFonts w:asciiTheme="minorHAnsi" w:hAnsiTheme="minorHAnsi"/>
          <w:sz w:val="22"/>
          <w:lang w:val="fr-FR"/>
        </w:rPr>
        <w:t xml:space="preserve"> </w:t>
      </w:r>
      <w:r w:rsidR="005D1AD1" w:rsidRPr="00F734C6">
        <w:rPr>
          <w:rFonts w:asciiTheme="minorHAnsi" w:hAnsiTheme="minorHAnsi"/>
          <w:sz w:val="22"/>
          <w:lang w:val="fr-FR"/>
        </w:rPr>
        <w:t xml:space="preserve">la possibilité d'exécuter des services </w:t>
      </w:r>
      <w:r w:rsidR="005D1AD1">
        <w:rPr>
          <w:rFonts w:asciiTheme="minorHAnsi" w:hAnsiTheme="minorHAnsi"/>
          <w:sz w:val="22"/>
          <w:lang w:val="fr-FR"/>
        </w:rPr>
        <w:t>au sein des</w:t>
      </w:r>
      <w:r w:rsidR="005D1AD1" w:rsidRPr="00F734C6">
        <w:rPr>
          <w:rFonts w:asciiTheme="minorHAnsi" w:hAnsiTheme="minorHAnsi"/>
          <w:sz w:val="22"/>
          <w:lang w:val="fr-FR"/>
        </w:rPr>
        <w:t xml:space="preserve"> systèmes nationaux de </w:t>
      </w:r>
      <w:r w:rsidR="005D1AD1">
        <w:rPr>
          <w:rFonts w:asciiTheme="minorHAnsi" w:hAnsiTheme="minorHAnsi"/>
          <w:sz w:val="22"/>
          <w:lang w:val="fr-FR"/>
        </w:rPr>
        <w:t>PS</w:t>
      </w:r>
      <w:r w:rsidR="005D1AD1" w:rsidRPr="00F734C6">
        <w:rPr>
          <w:rFonts w:asciiTheme="minorHAnsi" w:hAnsiTheme="minorHAnsi"/>
          <w:sz w:val="22"/>
          <w:lang w:val="fr-FR"/>
        </w:rPr>
        <w:t xml:space="preserve">. Grâce à la mise en place de </w:t>
      </w:r>
      <w:r w:rsidR="005D1AD1" w:rsidRPr="00CE5E4A">
        <w:rPr>
          <w:rFonts w:asciiTheme="minorHAnsi" w:hAnsiTheme="minorHAnsi"/>
          <w:b/>
          <w:bCs/>
          <w:sz w:val="22"/>
          <w:lang w:val="fr-FR"/>
        </w:rPr>
        <w:t>mécanismes participatifs</w:t>
      </w:r>
      <w:r w:rsidR="005D1AD1" w:rsidRPr="00F734C6">
        <w:rPr>
          <w:rFonts w:asciiTheme="minorHAnsi" w:hAnsiTheme="minorHAnsi"/>
          <w:sz w:val="22"/>
          <w:lang w:val="fr-FR"/>
        </w:rPr>
        <w:t xml:space="preserve">, </w:t>
      </w:r>
      <w:r w:rsidR="005D1AD1">
        <w:rPr>
          <w:rFonts w:asciiTheme="minorHAnsi" w:hAnsiTheme="minorHAnsi"/>
          <w:sz w:val="22"/>
          <w:lang w:val="fr-FR"/>
        </w:rPr>
        <w:t xml:space="preserve">les </w:t>
      </w:r>
      <w:proofErr w:type="spellStart"/>
      <w:r w:rsidR="005D1AD1">
        <w:rPr>
          <w:rFonts w:asciiTheme="minorHAnsi" w:hAnsiTheme="minorHAnsi"/>
          <w:sz w:val="22"/>
          <w:lang w:val="fr-FR"/>
        </w:rPr>
        <w:t>ORs</w:t>
      </w:r>
      <w:proofErr w:type="spellEnd"/>
      <w:r w:rsidR="005D1AD1">
        <w:rPr>
          <w:rFonts w:asciiTheme="minorHAnsi" w:hAnsiTheme="minorHAnsi"/>
          <w:sz w:val="22"/>
          <w:lang w:val="fr-FR"/>
        </w:rPr>
        <w:t xml:space="preserve"> peuvent</w:t>
      </w:r>
      <w:r w:rsidR="005D1AD1" w:rsidRPr="00F734C6">
        <w:rPr>
          <w:rFonts w:asciiTheme="minorHAnsi" w:hAnsiTheme="minorHAnsi"/>
          <w:sz w:val="22"/>
          <w:lang w:val="fr-FR"/>
        </w:rPr>
        <w:t xml:space="preserve"> être approché</w:t>
      </w:r>
      <w:r>
        <w:rPr>
          <w:rFonts w:asciiTheme="minorHAnsi" w:hAnsiTheme="minorHAnsi"/>
          <w:sz w:val="22"/>
          <w:lang w:val="fr-FR"/>
        </w:rPr>
        <w:t>e</w:t>
      </w:r>
      <w:r w:rsidR="005D1AD1">
        <w:rPr>
          <w:rFonts w:asciiTheme="minorHAnsi" w:hAnsiTheme="minorHAnsi"/>
          <w:sz w:val="22"/>
          <w:lang w:val="fr-FR"/>
        </w:rPr>
        <w:t>s</w:t>
      </w:r>
      <w:r w:rsidR="005D1AD1" w:rsidRPr="00F734C6">
        <w:rPr>
          <w:rFonts w:asciiTheme="minorHAnsi" w:hAnsiTheme="minorHAnsi"/>
          <w:sz w:val="22"/>
          <w:lang w:val="fr-FR"/>
        </w:rPr>
        <w:t xml:space="preserve"> pour </w:t>
      </w:r>
      <w:r w:rsidR="008974A7">
        <w:rPr>
          <w:rFonts w:asciiTheme="minorHAnsi" w:hAnsiTheme="minorHAnsi"/>
          <w:sz w:val="22"/>
          <w:lang w:val="fr-FR"/>
        </w:rPr>
        <w:t>concevoir</w:t>
      </w:r>
      <w:r w:rsidR="005D1AD1" w:rsidRPr="00F734C6">
        <w:rPr>
          <w:rFonts w:asciiTheme="minorHAnsi" w:hAnsiTheme="minorHAnsi"/>
          <w:sz w:val="22"/>
          <w:lang w:val="fr-FR"/>
        </w:rPr>
        <w:t xml:space="preserve"> de</w:t>
      </w:r>
      <w:r w:rsidR="008974A7">
        <w:rPr>
          <w:rFonts w:asciiTheme="minorHAnsi" w:hAnsiTheme="minorHAnsi"/>
          <w:sz w:val="22"/>
          <w:lang w:val="fr-FR"/>
        </w:rPr>
        <w:t>s</w:t>
      </w:r>
      <w:r w:rsidR="005D1AD1" w:rsidRPr="00F734C6">
        <w:rPr>
          <w:rFonts w:asciiTheme="minorHAnsi" w:hAnsiTheme="minorHAnsi"/>
          <w:sz w:val="22"/>
          <w:lang w:val="fr-FR"/>
        </w:rPr>
        <w:t xml:space="preserve"> programmes de </w:t>
      </w:r>
      <w:r w:rsidR="005D1AD1">
        <w:rPr>
          <w:rFonts w:asciiTheme="minorHAnsi" w:hAnsiTheme="minorHAnsi"/>
          <w:sz w:val="22"/>
          <w:lang w:val="fr-FR"/>
        </w:rPr>
        <w:t>PS</w:t>
      </w:r>
      <w:r w:rsidR="005D1AD1" w:rsidRPr="00F734C6">
        <w:rPr>
          <w:rFonts w:asciiTheme="minorHAnsi" w:hAnsiTheme="minorHAnsi"/>
          <w:sz w:val="22"/>
          <w:lang w:val="fr-FR"/>
        </w:rPr>
        <w:t xml:space="preserve"> et mettre en œuvre des tâches au sein de </w:t>
      </w:r>
      <w:r w:rsidR="008974A7">
        <w:rPr>
          <w:rFonts w:asciiTheme="minorHAnsi" w:hAnsiTheme="minorHAnsi"/>
          <w:sz w:val="22"/>
          <w:lang w:val="fr-FR"/>
        </w:rPr>
        <w:t xml:space="preserve">ces </w:t>
      </w:r>
      <w:r w:rsidR="005D1AD1" w:rsidRPr="00F734C6">
        <w:rPr>
          <w:rFonts w:asciiTheme="minorHAnsi" w:hAnsiTheme="minorHAnsi"/>
          <w:sz w:val="22"/>
          <w:lang w:val="fr-FR"/>
        </w:rPr>
        <w:t xml:space="preserve">programmes </w:t>
      </w:r>
      <w:r w:rsidR="005D1AD1">
        <w:rPr>
          <w:rFonts w:asciiTheme="minorHAnsi" w:hAnsiTheme="minorHAnsi"/>
          <w:sz w:val="22"/>
          <w:lang w:val="fr-FR"/>
        </w:rPr>
        <w:t>(par exemple</w:t>
      </w:r>
      <w:r w:rsidR="005D1AD1" w:rsidRPr="00F734C6">
        <w:rPr>
          <w:rFonts w:asciiTheme="minorHAnsi" w:hAnsiTheme="minorHAnsi"/>
          <w:sz w:val="22"/>
          <w:lang w:val="fr-FR"/>
        </w:rPr>
        <w:t xml:space="preserve"> le ciblage, l'enregistrement, le suivi). </w:t>
      </w:r>
      <w:r w:rsidR="005D1AD1">
        <w:rPr>
          <w:rFonts w:asciiTheme="minorHAnsi" w:hAnsiTheme="minorHAnsi"/>
          <w:sz w:val="22"/>
          <w:lang w:val="fr-FR"/>
        </w:rPr>
        <w:t>La p</w:t>
      </w:r>
      <w:r w:rsidR="005D1AD1" w:rsidRPr="00F734C6">
        <w:rPr>
          <w:rFonts w:asciiTheme="minorHAnsi" w:hAnsiTheme="minorHAnsi"/>
          <w:sz w:val="22"/>
          <w:lang w:val="fr-FR"/>
        </w:rPr>
        <w:t xml:space="preserve">articipation aux systèmes de </w:t>
      </w:r>
      <w:r w:rsidR="005D1AD1">
        <w:rPr>
          <w:rFonts w:asciiTheme="minorHAnsi" w:hAnsiTheme="minorHAnsi"/>
          <w:sz w:val="22"/>
          <w:lang w:val="fr-FR"/>
        </w:rPr>
        <w:t>PS</w:t>
      </w:r>
      <w:r w:rsidR="005D1AD1" w:rsidRPr="00F734C6">
        <w:rPr>
          <w:rFonts w:asciiTheme="minorHAnsi" w:hAnsiTheme="minorHAnsi"/>
          <w:sz w:val="22"/>
          <w:lang w:val="fr-FR"/>
        </w:rPr>
        <w:t xml:space="preserve"> peut prendre </w:t>
      </w:r>
      <w:r w:rsidR="008974A7">
        <w:rPr>
          <w:rFonts w:asciiTheme="minorHAnsi" w:hAnsiTheme="minorHAnsi"/>
          <w:sz w:val="22"/>
          <w:lang w:val="fr-FR"/>
        </w:rPr>
        <w:t xml:space="preserve">des </w:t>
      </w:r>
      <w:r w:rsidR="005D1AD1" w:rsidRPr="00F734C6">
        <w:rPr>
          <w:rFonts w:asciiTheme="minorHAnsi" w:hAnsiTheme="minorHAnsi"/>
          <w:sz w:val="22"/>
          <w:lang w:val="fr-FR"/>
        </w:rPr>
        <w:t xml:space="preserve">formes différentes. La consultation peut se </w:t>
      </w:r>
      <w:r w:rsidR="008974A7">
        <w:rPr>
          <w:rFonts w:asciiTheme="minorHAnsi" w:hAnsiTheme="minorHAnsi"/>
          <w:sz w:val="22"/>
          <w:lang w:val="fr-FR"/>
        </w:rPr>
        <w:t>faire</w:t>
      </w:r>
      <w:r w:rsidR="008974A7" w:rsidRPr="00F734C6">
        <w:rPr>
          <w:rFonts w:asciiTheme="minorHAnsi" w:hAnsiTheme="minorHAnsi"/>
          <w:sz w:val="22"/>
          <w:lang w:val="fr-FR"/>
        </w:rPr>
        <w:t xml:space="preserve"> </w:t>
      </w:r>
      <w:r w:rsidR="008974A7">
        <w:rPr>
          <w:rFonts w:asciiTheme="minorHAnsi" w:hAnsiTheme="minorHAnsi"/>
          <w:sz w:val="22"/>
          <w:lang w:val="fr-FR"/>
        </w:rPr>
        <w:t xml:space="preserve">au travers </w:t>
      </w:r>
      <w:r w:rsidR="005D1AD1">
        <w:rPr>
          <w:rFonts w:asciiTheme="minorHAnsi" w:hAnsiTheme="minorHAnsi"/>
          <w:sz w:val="22"/>
          <w:lang w:val="fr-FR"/>
        </w:rPr>
        <w:t>de</w:t>
      </w:r>
      <w:r w:rsidR="005D1AD1" w:rsidRPr="00F734C6">
        <w:rPr>
          <w:rFonts w:asciiTheme="minorHAnsi" w:hAnsiTheme="minorHAnsi"/>
          <w:sz w:val="22"/>
          <w:lang w:val="fr-FR"/>
        </w:rPr>
        <w:t xml:space="preserve"> conseils / commissions / comités sociaux, </w:t>
      </w:r>
      <w:r w:rsidR="005D1AD1">
        <w:rPr>
          <w:rFonts w:asciiTheme="minorHAnsi" w:hAnsiTheme="minorHAnsi"/>
          <w:sz w:val="22"/>
          <w:lang w:val="fr-FR"/>
        </w:rPr>
        <w:t>incluant</w:t>
      </w:r>
      <w:r w:rsidR="005D1AD1" w:rsidRPr="00F734C6">
        <w:rPr>
          <w:rFonts w:asciiTheme="minorHAnsi" w:hAnsiTheme="minorHAnsi"/>
          <w:sz w:val="22"/>
          <w:lang w:val="fr-FR"/>
        </w:rPr>
        <w:t xml:space="preserve"> la participation des représentants des </w:t>
      </w:r>
      <w:proofErr w:type="spellStart"/>
      <w:r w:rsidR="005D1AD1">
        <w:rPr>
          <w:rFonts w:asciiTheme="minorHAnsi" w:hAnsiTheme="minorHAnsi"/>
          <w:sz w:val="22"/>
          <w:lang w:val="fr-FR"/>
        </w:rPr>
        <w:t>ORs</w:t>
      </w:r>
      <w:proofErr w:type="spellEnd"/>
      <w:r w:rsidR="005D1AD1">
        <w:rPr>
          <w:rFonts w:asciiTheme="minorHAnsi" w:hAnsiTheme="minorHAnsi"/>
          <w:sz w:val="22"/>
          <w:lang w:val="fr-FR"/>
        </w:rPr>
        <w:t xml:space="preserve">. </w:t>
      </w:r>
      <w:r w:rsidR="008974A7">
        <w:rPr>
          <w:rFonts w:asciiTheme="minorHAnsi" w:hAnsiTheme="minorHAnsi"/>
          <w:sz w:val="22"/>
          <w:lang w:val="fr-FR"/>
        </w:rPr>
        <w:t xml:space="preserve">Les </w:t>
      </w:r>
      <w:proofErr w:type="spellStart"/>
      <w:r w:rsidR="008974A7">
        <w:rPr>
          <w:rFonts w:asciiTheme="minorHAnsi" w:hAnsiTheme="minorHAnsi"/>
          <w:sz w:val="22"/>
          <w:lang w:val="fr-FR"/>
        </w:rPr>
        <w:t>ORs</w:t>
      </w:r>
      <w:proofErr w:type="spellEnd"/>
      <w:r w:rsidR="005D1AD1" w:rsidRPr="00F734C6">
        <w:rPr>
          <w:rFonts w:asciiTheme="minorHAnsi" w:hAnsiTheme="minorHAnsi"/>
          <w:sz w:val="22"/>
          <w:lang w:val="fr-FR"/>
        </w:rPr>
        <w:t xml:space="preserve"> sont </w:t>
      </w:r>
      <w:r w:rsidR="005D1AD1" w:rsidRPr="00F734C6">
        <w:rPr>
          <w:rFonts w:asciiTheme="minorHAnsi" w:hAnsiTheme="minorHAnsi"/>
          <w:sz w:val="22"/>
          <w:lang w:val="fr-FR"/>
        </w:rPr>
        <w:lastRenderedPageBreak/>
        <w:t>re</w:t>
      </w:r>
      <w:r w:rsidR="006A0464">
        <w:rPr>
          <w:rFonts w:asciiTheme="minorHAnsi" w:hAnsiTheme="minorHAnsi"/>
          <w:sz w:val="22"/>
          <w:lang w:val="fr-FR"/>
        </w:rPr>
        <w:t>sp</w:t>
      </w:r>
      <w:r w:rsidR="005D1AD1" w:rsidRPr="00F734C6">
        <w:rPr>
          <w:rFonts w:asciiTheme="minorHAnsi" w:hAnsiTheme="minorHAnsi"/>
          <w:sz w:val="22"/>
          <w:lang w:val="fr-FR"/>
        </w:rPr>
        <w:t xml:space="preserve">onsables de veiller sur les erreurs </w:t>
      </w:r>
      <w:r w:rsidR="005D1AD1">
        <w:rPr>
          <w:rFonts w:asciiTheme="minorHAnsi" w:hAnsiTheme="minorHAnsi"/>
          <w:sz w:val="22"/>
          <w:lang w:val="fr-FR"/>
        </w:rPr>
        <w:t>d</w:t>
      </w:r>
      <w:r w:rsidR="005D1AD1" w:rsidRPr="00F734C6">
        <w:rPr>
          <w:rFonts w:asciiTheme="minorHAnsi" w:hAnsiTheme="minorHAnsi"/>
          <w:sz w:val="22"/>
          <w:lang w:val="fr-FR"/>
        </w:rPr>
        <w:t>'inclusion et d'exclusion et d</w:t>
      </w:r>
      <w:r w:rsidR="008974A7">
        <w:rPr>
          <w:rFonts w:asciiTheme="minorHAnsi" w:hAnsiTheme="minorHAnsi"/>
          <w:sz w:val="22"/>
          <w:lang w:val="fr-FR"/>
        </w:rPr>
        <w:t>'</w:t>
      </w:r>
      <w:r w:rsidR="005D1AD1">
        <w:rPr>
          <w:rFonts w:asciiTheme="minorHAnsi" w:hAnsiTheme="minorHAnsi"/>
          <w:sz w:val="22"/>
          <w:lang w:val="fr-FR"/>
        </w:rPr>
        <w:t>informer les décideurs</w:t>
      </w:r>
      <w:r w:rsidR="005D1AD1" w:rsidRPr="00F734C6">
        <w:rPr>
          <w:rFonts w:asciiTheme="minorHAnsi" w:hAnsiTheme="minorHAnsi"/>
          <w:sz w:val="22"/>
          <w:lang w:val="fr-FR"/>
        </w:rPr>
        <w:t xml:space="preserve"> sur les besoins prioritaires </w:t>
      </w:r>
      <w:r w:rsidR="008974A7">
        <w:rPr>
          <w:rFonts w:asciiTheme="minorHAnsi" w:hAnsiTheme="minorHAnsi"/>
          <w:sz w:val="22"/>
          <w:lang w:val="fr-FR"/>
        </w:rPr>
        <w:t xml:space="preserve">en </w:t>
      </w:r>
      <w:r w:rsidR="005D1AD1">
        <w:rPr>
          <w:rFonts w:asciiTheme="minorHAnsi" w:hAnsiTheme="minorHAnsi"/>
          <w:sz w:val="22"/>
          <w:lang w:val="fr-FR"/>
        </w:rPr>
        <w:t>PS</w:t>
      </w:r>
      <w:r w:rsidR="005D1AD1" w:rsidRPr="00F734C6">
        <w:rPr>
          <w:rFonts w:asciiTheme="minorHAnsi" w:hAnsiTheme="minorHAnsi"/>
          <w:sz w:val="22"/>
          <w:lang w:val="fr-FR"/>
        </w:rPr>
        <w:t xml:space="preserve"> (par exemple</w:t>
      </w:r>
      <w:r w:rsidR="005D1AD1">
        <w:rPr>
          <w:rFonts w:asciiTheme="minorHAnsi" w:hAnsiTheme="minorHAnsi"/>
          <w:sz w:val="22"/>
          <w:lang w:val="fr-FR"/>
        </w:rPr>
        <w:t>, le cas de</w:t>
      </w:r>
      <w:r w:rsidR="005D1AD1" w:rsidRPr="00F734C6">
        <w:rPr>
          <w:rFonts w:asciiTheme="minorHAnsi" w:hAnsiTheme="minorHAnsi"/>
          <w:sz w:val="22"/>
          <w:lang w:val="fr-FR"/>
        </w:rPr>
        <w:t xml:space="preserve"> </w:t>
      </w:r>
      <w:proofErr w:type="spellStart"/>
      <w:r w:rsidR="005D1AD1" w:rsidRPr="006D1395">
        <w:rPr>
          <w:rFonts w:asciiTheme="minorHAnsi" w:hAnsiTheme="minorHAnsi"/>
          <w:i/>
          <w:iCs/>
          <w:sz w:val="22"/>
          <w:lang w:val="fr-FR"/>
        </w:rPr>
        <w:t>Oportunidades</w:t>
      </w:r>
      <w:proofErr w:type="spellEnd"/>
      <w:r w:rsidR="005D1AD1" w:rsidRPr="00F734C6">
        <w:rPr>
          <w:rFonts w:asciiTheme="minorHAnsi" w:hAnsiTheme="minorHAnsi"/>
          <w:sz w:val="22"/>
          <w:lang w:val="fr-FR"/>
        </w:rPr>
        <w:t xml:space="preserve"> au Mexique). Dans certains cas, les conseils sociaux sont re</w:t>
      </w:r>
      <w:r w:rsidR="006A0464">
        <w:rPr>
          <w:rFonts w:asciiTheme="minorHAnsi" w:hAnsiTheme="minorHAnsi"/>
          <w:sz w:val="22"/>
          <w:lang w:val="fr-FR"/>
        </w:rPr>
        <w:t>sp</w:t>
      </w:r>
      <w:r w:rsidR="005D1AD1" w:rsidRPr="00F734C6">
        <w:rPr>
          <w:rFonts w:asciiTheme="minorHAnsi" w:hAnsiTheme="minorHAnsi"/>
          <w:sz w:val="22"/>
          <w:lang w:val="fr-FR"/>
        </w:rPr>
        <w:t>onsables de la surveillance des infrastructures et de la performance des activités (</w:t>
      </w:r>
      <w:proofErr w:type="spellStart"/>
      <w:r w:rsidR="005D1AD1" w:rsidRPr="00A1640A">
        <w:rPr>
          <w:rFonts w:asciiTheme="minorHAnsi" w:hAnsiTheme="minorHAnsi"/>
          <w:i/>
          <w:iCs/>
          <w:sz w:val="22"/>
          <w:lang w:val="fr-FR"/>
        </w:rPr>
        <w:t>Fome</w:t>
      </w:r>
      <w:proofErr w:type="spellEnd"/>
      <w:r w:rsidR="005D1AD1" w:rsidRPr="00A1640A">
        <w:rPr>
          <w:rFonts w:asciiTheme="minorHAnsi" w:hAnsiTheme="minorHAnsi"/>
          <w:i/>
          <w:iCs/>
          <w:sz w:val="22"/>
          <w:lang w:val="fr-FR"/>
        </w:rPr>
        <w:t xml:space="preserve"> </w:t>
      </w:r>
      <w:proofErr w:type="spellStart"/>
      <w:r w:rsidR="005D1AD1" w:rsidRPr="00A1640A">
        <w:rPr>
          <w:rFonts w:asciiTheme="minorHAnsi" w:hAnsiTheme="minorHAnsi"/>
          <w:i/>
          <w:iCs/>
          <w:sz w:val="22"/>
          <w:lang w:val="fr-FR"/>
        </w:rPr>
        <w:t>Zero</w:t>
      </w:r>
      <w:proofErr w:type="spellEnd"/>
      <w:r w:rsidR="005D1AD1">
        <w:rPr>
          <w:rFonts w:asciiTheme="minorHAnsi" w:hAnsiTheme="minorHAnsi"/>
          <w:sz w:val="22"/>
          <w:lang w:val="fr-FR"/>
        </w:rPr>
        <w:t xml:space="preserve"> au Brésil). La c</w:t>
      </w:r>
      <w:r w:rsidR="005D1AD1" w:rsidRPr="00F734C6">
        <w:rPr>
          <w:rFonts w:asciiTheme="minorHAnsi" w:hAnsiTheme="minorHAnsi"/>
          <w:sz w:val="22"/>
          <w:lang w:val="fr-FR"/>
        </w:rPr>
        <w:t>ollaboration</w:t>
      </w:r>
      <w:r w:rsidR="005D1AD1">
        <w:rPr>
          <w:rFonts w:asciiTheme="minorHAnsi" w:hAnsiTheme="minorHAnsi"/>
          <w:sz w:val="22"/>
          <w:lang w:val="fr-FR"/>
        </w:rPr>
        <w:t xml:space="preserve"> des </w:t>
      </w:r>
      <w:proofErr w:type="spellStart"/>
      <w:r w:rsidR="005D1AD1">
        <w:rPr>
          <w:rFonts w:asciiTheme="minorHAnsi" w:hAnsiTheme="minorHAnsi"/>
          <w:sz w:val="22"/>
          <w:lang w:val="fr-FR"/>
        </w:rPr>
        <w:t>ORs</w:t>
      </w:r>
      <w:proofErr w:type="spellEnd"/>
      <w:r w:rsidR="005D1AD1" w:rsidRPr="00F734C6">
        <w:rPr>
          <w:rFonts w:asciiTheme="minorHAnsi" w:hAnsiTheme="minorHAnsi"/>
          <w:sz w:val="22"/>
          <w:lang w:val="fr-FR"/>
        </w:rPr>
        <w:t xml:space="preserve"> se produit lorsque les gouvernements décident de </w:t>
      </w:r>
      <w:r w:rsidR="005D1AD1">
        <w:rPr>
          <w:rFonts w:asciiTheme="minorHAnsi" w:hAnsiTheme="minorHAnsi"/>
          <w:sz w:val="22"/>
          <w:lang w:val="fr-FR"/>
        </w:rPr>
        <w:t xml:space="preserve">leur </w:t>
      </w:r>
      <w:r w:rsidR="005D1AD1" w:rsidRPr="00F734C6">
        <w:rPr>
          <w:rFonts w:asciiTheme="minorHAnsi" w:hAnsiTheme="minorHAnsi"/>
          <w:sz w:val="22"/>
          <w:lang w:val="fr-FR"/>
        </w:rPr>
        <w:t xml:space="preserve">confier certaines tâches, en fonction de leurs capacités et </w:t>
      </w:r>
      <w:r w:rsidR="00E63AC7">
        <w:rPr>
          <w:rFonts w:asciiTheme="minorHAnsi" w:hAnsiTheme="minorHAnsi"/>
          <w:sz w:val="22"/>
          <w:lang w:val="fr-FR"/>
        </w:rPr>
        <w:t xml:space="preserve">de leur </w:t>
      </w:r>
      <w:r w:rsidR="005D1AD1" w:rsidRPr="00F734C6">
        <w:rPr>
          <w:rFonts w:asciiTheme="minorHAnsi" w:hAnsiTheme="minorHAnsi"/>
          <w:sz w:val="22"/>
          <w:lang w:val="fr-FR"/>
        </w:rPr>
        <w:t>potentiel pour améliorer certains a</w:t>
      </w:r>
      <w:r w:rsidR="006A0464">
        <w:rPr>
          <w:rFonts w:asciiTheme="minorHAnsi" w:hAnsiTheme="minorHAnsi"/>
          <w:sz w:val="22"/>
          <w:lang w:val="fr-FR"/>
        </w:rPr>
        <w:t>sp</w:t>
      </w:r>
      <w:r w:rsidR="005D1AD1" w:rsidRPr="00F734C6">
        <w:rPr>
          <w:rFonts w:asciiTheme="minorHAnsi" w:hAnsiTheme="minorHAnsi"/>
          <w:sz w:val="22"/>
          <w:lang w:val="fr-FR"/>
        </w:rPr>
        <w:t xml:space="preserve">ects de la </w:t>
      </w:r>
      <w:r w:rsidR="005D1AD1">
        <w:rPr>
          <w:rFonts w:asciiTheme="minorHAnsi" w:hAnsiTheme="minorHAnsi"/>
          <w:sz w:val="22"/>
          <w:lang w:val="fr-FR"/>
        </w:rPr>
        <w:t>fourniture de</w:t>
      </w:r>
      <w:r w:rsidR="005D1AD1" w:rsidRPr="00F734C6">
        <w:rPr>
          <w:rFonts w:asciiTheme="minorHAnsi" w:hAnsiTheme="minorHAnsi"/>
          <w:sz w:val="22"/>
          <w:lang w:val="fr-FR"/>
        </w:rPr>
        <w:t xml:space="preserve"> </w:t>
      </w:r>
      <w:r w:rsidR="005D1AD1">
        <w:rPr>
          <w:rFonts w:asciiTheme="minorHAnsi" w:hAnsiTheme="minorHAnsi"/>
          <w:sz w:val="22"/>
          <w:lang w:val="fr-FR"/>
        </w:rPr>
        <w:t>PS</w:t>
      </w:r>
      <w:r w:rsidR="005D1AD1" w:rsidRPr="00F734C6">
        <w:rPr>
          <w:rFonts w:asciiTheme="minorHAnsi" w:hAnsiTheme="minorHAnsi"/>
          <w:sz w:val="22"/>
          <w:lang w:val="fr-FR"/>
        </w:rPr>
        <w:t xml:space="preserve">. Par exemple, les </w:t>
      </w:r>
      <w:proofErr w:type="spellStart"/>
      <w:r w:rsidR="005D1AD1">
        <w:rPr>
          <w:rFonts w:asciiTheme="minorHAnsi" w:hAnsiTheme="minorHAnsi"/>
          <w:sz w:val="22"/>
          <w:lang w:val="fr-FR"/>
        </w:rPr>
        <w:t>ORs</w:t>
      </w:r>
      <w:proofErr w:type="spellEnd"/>
      <w:r w:rsidR="005D1AD1" w:rsidRPr="00F734C6">
        <w:rPr>
          <w:rFonts w:asciiTheme="minorHAnsi" w:hAnsiTheme="minorHAnsi"/>
          <w:sz w:val="22"/>
          <w:lang w:val="fr-FR"/>
        </w:rPr>
        <w:t xml:space="preserve"> collaborent à des programmes d'approvisionnement local et institutionnel qui créent des marchés pour les petits exploitants pauvres et fournissent de la nourriture aux enfants dans les écoles (par exemple</w:t>
      </w:r>
      <w:r w:rsidR="005D1AD1">
        <w:rPr>
          <w:rFonts w:asciiTheme="minorHAnsi" w:hAnsiTheme="minorHAnsi"/>
          <w:sz w:val="22"/>
          <w:lang w:val="fr-FR"/>
        </w:rPr>
        <w:t>, le PAA</w:t>
      </w:r>
      <w:r w:rsidR="005D1AD1" w:rsidRPr="00F734C6">
        <w:rPr>
          <w:rFonts w:asciiTheme="minorHAnsi" w:hAnsiTheme="minorHAnsi"/>
          <w:sz w:val="22"/>
          <w:lang w:val="fr-FR"/>
        </w:rPr>
        <w:t xml:space="preserve"> au Brésil).</w:t>
      </w:r>
      <w:r w:rsidR="005D1AD1">
        <w:rPr>
          <w:rFonts w:asciiTheme="minorHAnsi" w:hAnsiTheme="minorHAnsi"/>
          <w:sz w:val="22"/>
          <w:lang w:val="fr-FR"/>
        </w:rPr>
        <w:t xml:space="preserve"> Le</w:t>
      </w:r>
      <w:r w:rsidR="005D1AD1" w:rsidRPr="00F734C6">
        <w:rPr>
          <w:rFonts w:asciiTheme="minorHAnsi" w:hAnsiTheme="minorHAnsi"/>
          <w:sz w:val="22"/>
          <w:lang w:val="fr-FR"/>
        </w:rPr>
        <w:t xml:space="preserve"> ciblage communautaire est couramment utilisé pour améliorer la tran</w:t>
      </w:r>
      <w:r w:rsidR="006A0464">
        <w:rPr>
          <w:rFonts w:asciiTheme="minorHAnsi" w:hAnsiTheme="minorHAnsi"/>
          <w:sz w:val="22"/>
          <w:lang w:val="fr-FR"/>
        </w:rPr>
        <w:t>sp</w:t>
      </w:r>
      <w:r w:rsidR="005D1AD1" w:rsidRPr="00F734C6">
        <w:rPr>
          <w:rFonts w:asciiTheme="minorHAnsi" w:hAnsiTheme="minorHAnsi"/>
          <w:sz w:val="22"/>
          <w:lang w:val="fr-FR"/>
        </w:rPr>
        <w:t>arence et la re</w:t>
      </w:r>
      <w:r w:rsidR="006A0464">
        <w:rPr>
          <w:rFonts w:asciiTheme="minorHAnsi" w:hAnsiTheme="minorHAnsi"/>
          <w:sz w:val="22"/>
          <w:lang w:val="fr-FR"/>
        </w:rPr>
        <w:t>sp</w:t>
      </w:r>
      <w:r w:rsidR="005D1AD1" w:rsidRPr="00F734C6">
        <w:rPr>
          <w:rFonts w:asciiTheme="minorHAnsi" w:hAnsiTheme="minorHAnsi"/>
          <w:sz w:val="22"/>
          <w:lang w:val="fr-FR"/>
        </w:rPr>
        <w:t xml:space="preserve">onsabilité des processus de ciblage, mais il peut être entravé par des structures locales de pouvoir et la stigmatisation contre certains groupes (par exemple les femmes, les personnes handicapées, les groupes indigènes). Dans certains cas, les gouvernements ont opté pour la </w:t>
      </w:r>
      <w:r w:rsidR="00E63AC7">
        <w:rPr>
          <w:rFonts w:asciiTheme="minorHAnsi" w:hAnsiTheme="minorHAnsi"/>
          <w:sz w:val="22"/>
          <w:lang w:val="fr-FR"/>
        </w:rPr>
        <w:t>délégation</w:t>
      </w:r>
      <w:r w:rsidR="00E63AC7" w:rsidRPr="00F734C6">
        <w:rPr>
          <w:rFonts w:asciiTheme="minorHAnsi" w:hAnsiTheme="minorHAnsi"/>
          <w:sz w:val="22"/>
          <w:lang w:val="fr-FR"/>
        </w:rPr>
        <w:t xml:space="preserve"> </w:t>
      </w:r>
      <w:r w:rsidR="00E63AC7">
        <w:rPr>
          <w:rFonts w:asciiTheme="minorHAnsi" w:hAnsiTheme="minorHAnsi"/>
          <w:sz w:val="22"/>
          <w:lang w:val="fr-FR"/>
        </w:rPr>
        <w:t>aux</w:t>
      </w:r>
      <w:r w:rsidR="005D1AD1">
        <w:rPr>
          <w:rFonts w:asciiTheme="minorHAnsi" w:hAnsiTheme="minorHAnsi"/>
          <w:sz w:val="22"/>
          <w:lang w:val="fr-FR"/>
        </w:rPr>
        <w:t xml:space="preserve"> organisations</w:t>
      </w:r>
      <w:r w:rsidR="005D1AD1" w:rsidRPr="00F734C6">
        <w:rPr>
          <w:rFonts w:asciiTheme="minorHAnsi" w:hAnsiTheme="minorHAnsi"/>
          <w:sz w:val="22"/>
          <w:lang w:val="fr-FR"/>
        </w:rPr>
        <w:t xml:space="preserve"> communautaires </w:t>
      </w:r>
      <w:r w:rsidR="00E63AC7">
        <w:rPr>
          <w:rFonts w:asciiTheme="minorHAnsi" w:hAnsiTheme="minorHAnsi"/>
          <w:sz w:val="22"/>
          <w:lang w:val="fr-FR"/>
        </w:rPr>
        <w:t>pour</w:t>
      </w:r>
      <w:r w:rsidR="00E63AC7" w:rsidRPr="00F734C6">
        <w:rPr>
          <w:rFonts w:asciiTheme="minorHAnsi" w:hAnsiTheme="minorHAnsi"/>
          <w:sz w:val="22"/>
          <w:lang w:val="fr-FR"/>
        </w:rPr>
        <w:t xml:space="preserve"> </w:t>
      </w:r>
      <w:r w:rsidR="005D1AD1" w:rsidRPr="00F734C6">
        <w:rPr>
          <w:rFonts w:asciiTheme="minorHAnsi" w:hAnsiTheme="minorHAnsi"/>
          <w:sz w:val="22"/>
          <w:lang w:val="fr-FR"/>
        </w:rPr>
        <w:t xml:space="preserve">la gestion autonome de transferts </w:t>
      </w:r>
      <w:r w:rsidR="005D1AD1">
        <w:rPr>
          <w:rFonts w:asciiTheme="minorHAnsi" w:hAnsiTheme="minorHAnsi"/>
          <w:sz w:val="22"/>
          <w:lang w:val="fr-FR"/>
        </w:rPr>
        <w:t>monétaires communautaires</w:t>
      </w:r>
      <w:r w:rsidR="005D1AD1" w:rsidRPr="00F734C6">
        <w:rPr>
          <w:rFonts w:asciiTheme="minorHAnsi" w:hAnsiTheme="minorHAnsi"/>
          <w:sz w:val="22"/>
          <w:lang w:val="fr-FR"/>
        </w:rPr>
        <w:t xml:space="preserve">, tout en fournissant un soutien consultatif </w:t>
      </w:r>
      <w:r w:rsidR="00E63AC7">
        <w:rPr>
          <w:rFonts w:asciiTheme="minorHAnsi" w:hAnsiTheme="minorHAnsi"/>
          <w:sz w:val="22"/>
          <w:lang w:val="fr-FR"/>
        </w:rPr>
        <w:t>ainsi que</w:t>
      </w:r>
      <w:r w:rsidR="00E63AC7" w:rsidRPr="00F734C6">
        <w:rPr>
          <w:rFonts w:asciiTheme="minorHAnsi" w:hAnsiTheme="minorHAnsi"/>
          <w:sz w:val="22"/>
          <w:lang w:val="fr-FR"/>
        </w:rPr>
        <w:t xml:space="preserve"> </w:t>
      </w:r>
      <w:r w:rsidR="005D1AD1">
        <w:rPr>
          <w:rFonts w:asciiTheme="minorHAnsi" w:hAnsiTheme="minorHAnsi"/>
          <w:sz w:val="22"/>
          <w:lang w:val="fr-FR"/>
        </w:rPr>
        <w:t>la</w:t>
      </w:r>
      <w:r w:rsidR="005D1AD1" w:rsidRPr="00F734C6">
        <w:rPr>
          <w:rFonts w:asciiTheme="minorHAnsi" w:hAnsiTheme="minorHAnsi"/>
          <w:sz w:val="22"/>
          <w:lang w:val="fr-FR"/>
        </w:rPr>
        <w:t xml:space="preserve"> supervision générale (par exemple</w:t>
      </w:r>
      <w:r w:rsidR="005D1AD1">
        <w:rPr>
          <w:rFonts w:asciiTheme="minorHAnsi" w:hAnsiTheme="minorHAnsi"/>
          <w:sz w:val="22"/>
          <w:lang w:val="fr-FR"/>
        </w:rPr>
        <w:t>, les programmes</w:t>
      </w:r>
      <w:r w:rsidR="005D1AD1" w:rsidRPr="00F734C6">
        <w:rPr>
          <w:rFonts w:asciiTheme="minorHAnsi" w:hAnsiTheme="minorHAnsi"/>
          <w:sz w:val="22"/>
          <w:lang w:val="fr-FR"/>
        </w:rPr>
        <w:t xml:space="preserve"> PNPM en Indonésie et </w:t>
      </w:r>
      <w:r w:rsidR="005D1AD1">
        <w:rPr>
          <w:rFonts w:asciiTheme="minorHAnsi" w:hAnsiTheme="minorHAnsi"/>
          <w:sz w:val="22"/>
          <w:lang w:val="fr-FR"/>
        </w:rPr>
        <w:t xml:space="preserve">le </w:t>
      </w:r>
      <w:r w:rsidR="005D1AD1" w:rsidRPr="00F734C6">
        <w:rPr>
          <w:rFonts w:asciiTheme="minorHAnsi" w:hAnsiTheme="minorHAnsi"/>
          <w:sz w:val="22"/>
          <w:lang w:val="fr-FR"/>
        </w:rPr>
        <w:t>TASAF en Tanzanie).</w:t>
      </w:r>
    </w:p>
    <w:p w14:paraId="778E93EB" w14:textId="722D09F6" w:rsidR="005D1AD1" w:rsidRPr="00FC073F" w:rsidRDefault="005D1AD1" w:rsidP="00FC073F">
      <w:pPr>
        <w:pStyle w:val="ListParagraph"/>
        <w:numPr>
          <w:ilvl w:val="0"/>
          <w:numId w:val="16"/>
        </w:numPr>
        <w:spacing w:after="60"/>
        <w:jc w:val="both"/>
        <w:rPr>
          <w:rFonts w:asciiTheme="minorHAnsi" w:hAnsiTheme="minorHAnsi"/>
          <w:sz w:val="22"/>
          <w:lang w:val="fr-FR"/>
        </w:rPr>
      </w:pPr>
      <w:r>
        <w:rPr>
          <w:rFonts w:asciiTheme="minorHAnsi" w:hAnsiTheme="minorHAnsi"/>
          <w:sz w:val="22"/>
          <w:lang w:val="fr-FR"/>
        </w:rPr>
        <w:t xml:space="preserve">Les </w:t>
      </w:r>
      <w:proofErr w:type="spellStart"/>
      <w:r w:rsidRPr="005D1AD1">
        <w:rPr>
          <w:rFonts w:asciiTheme="minorHAnsi" w:hAnsiTheme="minorHAnsi"/>
          <w:sz w:val="22"/>
          <w:lang w:val="fr-FR"/>
        </w:rPr>
        <w:t>OR</w:t>
      </w:r>
      <w:r>
        <w:rPr>
          <w:rFonts w:asciiTheme="minorHAnsi" w:hAnsiTheme="minorHAnsi"/>
          <w:sz w:val="22"/>
          <w:lang w:val="fr-FR"/>
        </w:rPr>
        <w:t>s</w:t>
      </w:r>
      <w:proofErr w:type="spellEnd"/>
      <w:r w:rsidRPr="005D1AD1">
        <w:rPr>
          <w:rFonts w:asciiTheme="minorHAnsi" w:hAnsiTheme="minorHAnsi"/>
          <w:sz w:val="22"/>
          <w:lang w:val="fr-FR"/>
        </w:rPr>
        <w:t xml:space="preserve"> </w:t>
      </w:r>
      <w:r w:rsidR="00AB5B84">
        <w:rPr>
          <w:rFonts w:asciiTheme="minorHAnsi" w:hAnsiTheme="minorHAnsi"/>
          <w:sz w:val="22"/>
          <w:lang w:val="fr-FR"/>
        </w:rPr>
        <w:t>ont</w:t>
      </w:r>
      <w:r w:rsidR="00AB5B84" w:rsidRPr="005D1AD1">
        <w:rPr>
          <w:rFonts w:asciiTheme="minorHAnsi" w:hAnsiTheme="minorHAnsi"/>
          <w:sz w:val="22"/>
          <w:lang w:val="fr-FR"/>
        </w:rPr>
        <w:t xml:space="preserve"> </w:t>
      </w:r>
      <w:r w:rsidRPr="005D1AD1">
        <w:rPr>
          <w:rFonts w:asciiTheme="minorHAnsi" w:hAnsiTheme="minorHAnsi"/>
          <w:sz w:val="22"/>
          <w:lang w:val="fr-FR"/>
        </w:rPr>
        <w:t xml:space="preserve">également </w:t>
      </w:r>
      <w:r w:rsidR="00AB5B84">
        <w:rPr>
          <w:rFonts w:asciiTheme="minorHAnsi" w:hAnsiTheme="minorHAnsi"/>
          <w:sz w:val="22"/>
          <w:lang w:val="fr-FR"/>
        </w:rPr>
        <w:t>leurs propres</w:t>
      </w:r>
      <w:r w:rsidR="00AB5B84" w:rsidRPr="005D1AD1">
        <w:rPr>
          <w:rFonts w:asciiTheme="minorHAnsi" w:hAnsiTheme="minorHAnsi"/>
          <w:sz w:val="22"/>
          <w:lang w:val="fr-FR"/>
        </w:rPr>
        <w:t xml:space="preserve"> </w:t>
      </w:r>
      <w:r w:rsidRPr="005D1AD1">
        <w:rPr>
          <w:rFonts w:asciiTheme="minorHAnsi" w:hAnsiTheme="minorHAnsi"/>
          <w:sz w:val="22"/>
          <w:lang w:val="fr-FR"/>
        </w:rPr>
        <w:t xml:space="preserve">pratiques collectives </w:t>
      </w:r>
      <w:r>
        <w:rPr>
          <w:rFonts w:asciiTheme="minorHAnsi" w:hAnsiTheme="minorHAnsi"/>
          <w:sz w:val="22"/>
          <w:lang w:val="fr-FR"/>
        </w:rPr>
        <w:t>pour appuyer</w:t>
      </w:r>
      <w:r w:rsidRPr="005D1AD1">
        <w:rPr>
          <w:rFonts w:asciiTheme="minorHAnsi" w:hAnsiTheme="minorHAnsi"/>
          <w:sz w:val="22"/>
          <w:lang w:val="fr-FR"/>
        </w:rPr>
        <w:t xml:space="preserve"> leurs membres dans la prévention </w:t>
      </w:r>
      <w:r>
        <w:rPr>
          <w:rFonts w:asciiTheme="minorHAnsi" w:hAnsiTheme="minorHAnsi"/>
          <w:sz w:val="22"/>
          <w:lang w:val="fr-FR"/>
        </w:rPr>
        <w:t>et la gestion</w:t>
      </w:r>
      <w:r w:rsidRPr="005D1AD1">
        <w:rPr>
          <w:rFonts w:asciiTheme="minorHAnsi" w:hAnsiTheme="minorHAnsi"/>
          <w:sz w:val="22"/>
          <w:lang w:val="fr-FR"/>
        </w:rPr>
        <w:t xml:space="preserve"> </w:t>
      </w:r>
      <w:r>
        <w:rPr>
          <w:rFonts w:asciiTheme="minorHAnsi" w:hAnsiTheme="minorHAnsi"/>
          <w:sz w:val="22"/>
          <w:lang w:val="fr-FR"/>
        </w:rPr>
        <w:t>des risques, la stabilisation de leurs revenus</w:t>
      </w:r>
      <w:r w:rsidR="00AB5B84">
        <w:rPr>
          <w:rFonts w:asciiTheme="minorHAnsi" w:hAnsiTheme="minorHAnsi"/>
          <w:sz w:val="22"/>
          <w:lang w:val="fr-FR"/>
        </w:rPr>
        <w:t xml:space="preserve"> ainsi que de leur alimentation</w:t>
      </w:r>
      <w:r>
        <w:rPr>
          <w:rFonts w:asciiTheme="minorHAnsi" w:hAnsiTheme="minorHAnsi"/>
          <w:sz w:val="22"/>
          <w:lang w:val="fr-FR"/>
        </w:rPr>
        <w:t>. Ces p</w:t>
      </w:r>
      <w:r w:rsidR="00CE3142">
        <w:rPr>
          <w:rFonts w:asciiTheme="minorHAnsi" w:hAnsiTheme="minorHAnsi"/>
          <w:sz w:val="22"/>
          <w:lang w:val="fr-FR"/>
        </w:rPr>
        <w:t>ratiques collectives, rempli</w:t>
      </w:r>
      <w:r w:rsidR="00AB5B84">
        <w:rPr>
          <w:rFonts w:asciiTheme="minorHAnsi" w:hAnsiTheme="minorHAnsi"/>
          <w:sz w:val="22"/>
          <w:lang w:val="fr-FR"/>
        </w:rPr>
        <w:t>ss</w:t>
      </w:r>
      <w:r w:rsidR="00CE3142">
        <w:rPr>
          <w:rFonts w:asciiTheme="minorHAnsi" w:hAnsiTheme="minorHAnsi"/>
          <w:sz w:val="22"/>
          <w:lang w:val="fr-FR"/>
        </w:rPr>
        <w:t>ant des fonctions de PS,</w:t>
      </w:r>
      <w:r w:rsidRPr="005D1AD1">
        <w:rPr>
          <w:rFonts w:asciiTheme="minorHAnsi" w:hAnsiTheme="minorHAnsi"/>
          <w:sz w:val="22"/>
          <w:lang w:val="fr-FR"/>
        </w:rPr>
        <w:t xml:space="preserve"> existent mais sont souvent ignoré</w:t>
      </w:r>
      <w:r w:rsidR="00AB5B84">
        <w:rPr>
          <w:rFonts w:asciiTheme="minorHAnsi" w:hAnsiTheme="minorHAnsi"/>
          <w:sz w:val="22"/>
          <w:lang w:val="fr-FR"/>
        </w:rPr>
        <w:t>e</w:t>
      </w:r>
      <w:r w:rsidRPr="005D1AD1">
        <w:rPr>
          <w:rFonts w:asciiTheme="minorHAnsi" w:hAnsiTheme="minorHAnsi"/>
          <w:sz w:val="22"/>
          <w:lang w:val="fr-FR"/>
        </w:rPr>
        <w:t xml:space="preserve">s par les politiques nationales de </w:t>
      </w:r>
      <w:r w:rsidR="00CE3142">
        <w:rPr>
          <w:rFonts w:asciiTheme="minorHAnsi" w:hAnsiTheme="minorHAnsi"/>
          <w:sz w:val="22"/>
          <w:lang w:val="fr-FR"/>
        </w:rPr>
        <w:t>PS</w:t>
      </w:r>
      <w:r w:rsidRPr="005D1AD1">
        <w:rPr>
          <w:rFonts w:asciiTheme="minorHAnsi" w:hAnsiTheme="minorHAnsi"/>
          <w:sz w:val="22"/>
          <w:lang w:val="fr-FR"/>
        </w:rPr>
        <w:t>. Inversement, les gouvernements pourraient s</w:t>
      </w:r>
      <w:r w:rsidR="00AB5B84">
        <w:rPr>
          <w:rFonts w:asciiTheme="minorHAnsi" w:hAnsiTheme="minorHAnsi"/>
          <w:sz w:val="22"/>
          <w:lang w:val="fr-FR"/>
        </w:rPr>
        <w:t>’</w:t>
      </w:r>
      <w:r w:rsidRPr="005D1AD1">
        <w:rPr>
          <w:rFonts w:asciiTheme="minorHAnsi" w:hAnsiTheme="minorHAnsi"/>
          <w:sz w:val="22"/>
          <w:lang w:val="fr-FR"/>
        </w:rPr>
        <w:t xml:space="preserve">appuyer sur </w:t>
      </w:r>
      <w:r w:rsidR="00CE3142">
        <w:rPr>
          <w:rFonts w:asciiTheme="minorHAnsi" w:hAnsiTheme="minorHAnsi"/>
          <w:sz w:val="22"/>
          <w:lang w:val="fr-FR"/>
        </w:rPr>
        <w:t>les</w:t>
      </w:r>
      <w:r w:rsidRPr="005D1AD1">
        <w:rPr>
          <w:rFonts w:asciiTheme="minorHAnsi" w:hAnsiTheme="minorHAnsi"/>
          <w:sz w:val="22"/>
          <w:lang w:val="fr-FR"/>
        </w:rPr>
        <w:t xml:space="preserve"> filets de protection existant</w:t>
      </w:r>
      <w:r w:rsidR="00AB5B84">
        <w:rPr>
          <w:rFonts w:asciiTheme="minorHAnsi" w:hAnsiTheme="minorHAnsi"/>
          <w:sz w:val="22"/>
          <w:lang w:val="fr-FR"/>
        </w:rPr>
        <w:t>s</w:t>
      </w:r>
      <w:r w:rsidRPr="005D1AD1">
        <w:rPr>
          <w:rFonts w:asciiTheme="minorHAnsi" w:hAnsiTheme="minorHAnsi"/>
          <w:sz w:val="22"/>
          <w:lang w:val="fr-FR"/>
        </w:rPr>
        <w:t xml:space="preserve">, utilisant et / ou </w:t>
      </w:r>
      <w:r w:rsidR="00CE3142">
        <w:rPr>
          <w:rFonts w:asciiTheme="minorHAnsi" w:hAnsiTheme="minorHAnsi"/>
          <w:sz w:val="22"/>
          <w:lang w:val="fr-FR"/>
        </w:rPr>
        <w:t>complétant</w:t>
      </w:r>
      <w:r w:rsidRPr="005D1AD1">
        <w:rPr>
          <w:rFonts w:asciiTheme="minorHAnsi" w:hAnsiTheme="minorHAnsi"/>
          <w:sz w:val="22"/>
          <w:lang w:val="fr-FR"/>
        </w:rPr>
        <w:t xml:space="preserve"> leurs structures au lieu de les substituer. Ce</w:t>
      </w:r>
      <w:r w:rsidR="00CE3142">
        <w:rPr>
          <w:rFonts w:asciiTheme="minorHAnsi" w:hAnsiTheme="minorHAnsi"/>
          <w:sz w:val="22"/>
          <w:lang w:val="fr-FR"/>
        </w:rPr>
        <w:t xml:space="preserve"> qui suit peut servir d'exemple</w:t>
      </w:r>
      <w:r w:rsidRPr="005D1AD1">
        <w:rPr>
          <w:rFonts w:asciiTheme="minorHAnsi" w:hAnsiTheme="minorHAnsi"/>
          <w:sz w:val="22"/>
          <w:lang w:val="fr-FR"/>
        </w:rPr>
        <w:t xml:space="preserve">. </w:t>
      </w:r>
      <w:r w:rsidR="00CE3142">
        <w:rPr>
          <w:rFonts w:asciiTheme="minorHAnsi" w:hAnsiTheme="minorHAnsi"/>
          <w:sz w:val="22"/>
          <w:lang w:val="fr-FR"/>
        </w:rPr>
        <w:t xml:space="preserve">Les </w:t>
      </w:r>
      <w:r w:rsidRPr="00CE3142">
        <w:rPr>
          <w:rFonts w:asciiTheme="minorHAnsi" w:hAnsiTheme="minorHAnsi"/>
          <w:b/>
          <w:bCs/>
          <w:sz w:val="22"/>
          <w:lang w:val="fr-FR"/>
        </w:rPr>
        <w:t>organisations de micro-assurance</w:t>
      </w:r>
      <w:r w:rsidRPr="005D1AD1">
        <w:rPr>
          <w:rFonts w:asciiTheme="minorHAnsi" w:hAnsiTheme="minorHAnsi"/>
          <w:sz w:val="22"/>
          <w:lang w:val="fr-FR"/>
        </w:rPr>
        <w:t xml:space="preserve"> ont </w:t>
      </w:r>
      <w:r w:rsidR="00CE3142">
        <w:rPr>
          <w:rFonts w:asciiTheme="minorHAnsi" w:hAnsiTheme="minorHAnsi"/>
          <w:sz w:val="22"/>
          <w:lang w:val="fr-FR"/>
        </w:rPr>
        <w:t>la</w:t>
      </w:r>
      <w:r w:rsidRPr="005D1AD1">
        <w:rPr>
          <w:rFonts w:asciiTheme="minorHAnsi" w:hAnsiTheme="minorHAnsi"/>
          <w:sz w:val="22"/>
          <w:lang w:val="fr-FR"/>
        </w:rPr>
        <w:t xml:space="preserve"> fonction d'aider les populations rurales à faire face aux chocs et crise</w:t>
      </w:r>
      <w:r w:rsidR="00CE3142">
        <w:rPr>
          <w:rFonts w:asciiTheme="minorHAnsi" w:hAnsiTheme="minorHAnsi"/>
          <w:sz w:val="22"/>
          <w:lang w:val="fr-FR"/>
        </w:rPr>
        <w:t>s</w:t>
      </w:r>
      <w:r w:rsidRPr="005D1AD1">
        <w:rPr>
          <w:rFonts w:asciiTheme="minorHAnsi" w:hAnsiTheme="minorHAnsi"/>
          <w:sz w:val="22"/>
          <w:lang w:val="fr-FR"/>
        </w:rPr>
        <w:t xml:space="preserve">, prévenir la perte ou la réduction de leurs revenus, sauver des vies en cas de </w:t>
      </w:r>
      <w:r w:rsidR="00FC44E0">
        <w:rPr>
          <w:rFonts w:asciiTheme="minorHAnsi" w:hAnsiTheme="minorHAnsi"/>
          <w:sz w:val="22"/>
          <w:lang w:val="fr-FR"/>
        </w:rPr>
        <w:t>chocs graves</w:t>
      </w:r>
      <w:r w:rsidRPr="005D1AD1">
        <w:rPr>
          <w:rFonts w:asciiTheme="minorHAnsi" w:hAnsiTheme="minorHAnsi"/>
          <w:sz w:val="22"/>
          <w:lang w:val="fr-FR"/>
        </w:rPr>
        <w:t>. Leurs services incluent des systèmes d'indemnisation couvrant la perte de biens personnels, les mauvaises récoltes, la santé, la mort, la protection d</w:t>
      </w:r>
      <w:r w:rsidR="00FC44E0">
        <w:rPr>
          <w:rFonts w:asciiTheme="minorHAnsi" w:hAnsiTheme="minorHAnsi"/>
          <w:sz w:val="22"/>
          <w:lang w:val="fr-FR"/>
        </w:rPr>
        <w:t>u</w:t>
      </w:r>
      <w:r w:rsidRPr="005D1AD1">
        <w:rPr>
          <w:rFonts w:asciiTheme="minorHAnsi" w:hAnsiTheme="minorHAnsi"/>
          <w:sz w:val="22"/>
          <w:lang w:val="fr-FR"/>
        </w:rPr>
        <w:t xml:space="preserve"> crédit, et la fourniture d'abris</w:t>
      </w:r>
      <w:r w:rsidR="00C04DE2" w:rsidRPr="005F2BD1">
        <w:rPr>
          <w:rStyle w:val="FootnoteReference"/>
          <w:rFonts w:asciiTheme="minorHAnsi" w:hAnsiTheme="minorHAnsi"/>
          <w:sz w:val="22"/>
        </w:rPr>
        <w:footnoteReference w:id="5"/>
      </w:r>
      <w:r w:rsidRPr="005D1AD1">
        <w:rPr>
          <w:rFonts w:asciiTheme="minorHAnsi" w:hAnsiTheme="minorHAnsi"/>
          <w:sz w:val="22"/>
          <w:lang w:val="fr-FR"/>
        </w:rPr>
        <w:t xml:space="preserve">. Les </w:t>
      </w:r>
      <w:r w:rsidRPr="00CE3142">
        <w:rPr>
          <w:rFonts w:asciiTheme="minorHAnsi" w:hAnsiTheme="minorHAnsi"/>
          <w:b/>
          <w:bCs/>
          <w:sz w:val="22"/>
          <w:lang w:val="fr-FR"/>
        </w:rPr>
        <w:t>organisations de microfinance</w:t>
      </w:r>
      <w:r w:rsidRPr="005D1AD1">
        <w:rPr>
          <w:rFonts w:asciiTheme="minorHAnsi" w:hAnsiTheme="minorHAnsi"/>
          <w:sz w:val="22"/>
          <w:lang w:val="fr-FR"/>
        </w:rPr>
        <w:t xml:space="preserve">, par exemple </w:t>
      </w:r>
      <w:r w:rsidR="00CE3142">
        <w:rPr>
          <w:rFonts w:asciiTheme="minorHAnsi" w:hAnsiTheme="minorHAnsi"/>
          <w:sz w:val="22"/>
          <w:lang w:val="fr-FR"/>
        </w:rPr>
        <w:t xml:space="preserve">les  </w:t>
      </w:r>
      <w:r w:rsidRPr="005D1AD1">
        <w:rPr>
          <w:rFonts w:asciiTheme="minorHAnsi" w:hAnsiTheme="minorHAnsi"/>
          <w:sz w:val="22"/>
          <w:lang w:val="fr-FR"/>
        </w:rPr>
        <w:t>coopératives d'épargne et de crédit (COOPEC), offrent des possibilités d'accès à la liquidité indi</w:t>
      </w:r>
      <w:r w:rsidR="006A0464">
        <w:rPr>
          <w:rFonts w:asciiTheme="minorHAnsi" w:hAnsiTheme="minorHAnsi"/>
          <w:sz w:val="22"/>
          <w:lang w:val="fr-FR"/>
        </w:rPr>
        <w:t>sp</w:t>
      </w:r>
      <w:r w:rsidRPr="005D1AD1">
        <w:rPr>
          <w:rFonts w:asciiTheme="minorHAnsi" w:hAnsiTheme="minorHAnsi"/>
          <w:sz w:val="22"/>
          <w:lang w:val="fr-FR"/>
        </w:rPr>
        <w:t xml:space="preserve">ensable pour maintenir ou commencer des activités productives pour les citoyens vulnérables, souvent exclus du système bancaire formel. Les </w:t>
      </w:r>
      <w:r w:rsidRPr="00CE3142">
        <w:rPr>
          <w:rFonts w:asciiTheme="minorHAnsi" w:hAnsiTheme="minorHAnsi"/>
          <w:b/>
          <w:bCs/>
          <w:sz w:val="22"/>
          <w:lang w:val="fr-FR"/>
        </w:rPr>
        <w:t xml:space="preserve">organisations </w:t>
      </w:r>
      <w:r w:rsidR="00CE3142" w:rsidRPr="00CE3142">
        <w:rPr>
          <w:rFonts w:asciiTheme="minorHAnsi" w:hAnsiTheme="minorHAnsi"/>
          <w:b/>
          <w:bCs/>
          <w:sz w:val="22"/>
          <w:lang w:val="fr-FR"/>
        </w:rPr>
        <w:t>paysannes</w:t>
      </w:r>
      <w:r w:rsidR="00CE3142">
        <w:rPr>
          <w:rFonts w:asciiTheme="minorHAnsi" w:hAnsiTheme="minorHAnsi"/>
          <w:sz w:val="22"/>
          <w:lang w:val="fr-FR"/>
        </w:rPr>
        <w:t xml:space="preserve"> </w:t>
      </w:r>
      <w:r w:rsidRPr="005D1AD1">
        <w:rPr>
          <w:rFonts w:asciiTheme="minorHAnsi" w:hAnsiTheme="minorHAnsi"/>
          <w:sz w:val="22"/>
          <w:lang w:val="fr-FR"/>
        </w:rPr>
        <w:t>(</w:t>
      </w:r>
      <w:proofErr w:type="spellStart"/>
      <w:r w:rsidRPr="005D1AD1">
        <w:rPr>
          <w:rFonts w:asciiTheme="minorHAnsi" w:hAnsiTheme="minorHAnsi"/>
          <w:sz w:val="22"/>
          <w:lang w:val="fr-FR"/>
        </w:rPr>
        <w:t>OP</w:t>
      </w:r>
      <w:r w:rsidR="00CE3142">
        <w:rPr>
          <w:rFonts w:asciiTheme="minorHAnsi" w:hAnsiTheme="minorHAnsi"/>
          <w:sz w:val="22"/>
          <w:lang w:val="fr-FR"/>
        </w:rPr>
        <w:t>s</w:t>
      </w:r>
      <w:proofErr w:type="spellEnd"/>
      <w:r w:rsidRPr="005D1AD1">
        <w:rPr>
          <w:rFonts w:asciiTheme="minorHAnsi" w:hAnsiTheme="minorHAnsi"/>
          <w:sz w:val="22"/>
          <w:lang w:val="fr-FR"/>
        </w:rPr>
        <w:t xml:space="preserve">), y compris les organisations </w:t>
      </w:r>
      <w:r w:rsidR="00CE3142">
        <w:rPr>
          <w:rFonts w:asciiTheme="minorHAnsi" w:hAnsiTheme="minorHAnsi"/>
          <w:sz w:val="22"/>
          <w:lang w:val="fr-FR"/>
        </w:rPr>
        <w:t xml:space="preserve">des </w:t>
      </w:r>
      <w:r w:rsidR="00CE3142" w:rsidRPr="005D1AD1">
        <w:rPr>
          <w:rFonts w:asciiTheme="minorHAnsi" w:hAnsiTheme="minorHAnsi"/>
          <w:sz w:val="22"/>
          <w:lang w:val="fr-FR"/>
        </w:rPr>
        <w:t xml:space="preserve">producteurs </w:t>
      </w:r>
      <w:r w:rsidRPr="005D1AD1">
        <w:rPr>
          <w:rFonts w:asciiTheme="minorHAnsi" w:hAnsiTheme="minorHAnsi"/>
          <w:sz w:val="22"/>
          <w:lang w:val="fr-FR"/>
        </w:rPr>
        <w:t xml:space="preserve">et </w:t>
      </w:r>
      <w:r w:rsidR="00CE3142">
        <w:rPr>
          <w:rFonts w:asciiTheme="minorHAnsi" w:hAnsiTheme="minorHAnsi"/>
          <w:sz w:val="22"/>
          <w:lang w:val="fr-FR"/>
        </w:rPr>
        <w:t xml:space="preserve">les </w:t>
      </w:r>
      <w:r w:rsidRPr="005D1AD1">
        <w:rPr>
          <w:rFonts w:asciiTheme="minorHAnsi" w:hAnsiTheme="minorHAnsi"/>
          <w:sz w:val="22"/>
          <w:lang w:val="fr-FR"/>
        </w:rPr>
        <w:t xml:space="preserve">coopératives agricoles, les </w:t>
      </w:r>
      <w:r w:rsidR="00CE3142" w:rsidRPr="00CE3142">
        <w:rPr>
          <w:rFonts w:asciiTheme="minorHAnsi" w:hAnsiTheme="minorHAnsi"/>
          <w:b/>
          <w:bCs/>
          <w:sz w:val="22"/>
          <w:lang w:val="fr-FR"/>
        </w:rPr>
        <w:t>organisations de commerçants</w:t>
      </w:r>
      <w:r w:rsidRPr="005D1AD1">
        <w:rPr>
          <w:rFonts w:asciiTheme="minorHAnsi" w:hAnsiTheme="minorHAnsi"/>
          <w:sz w:val="22"/>
          <w:lang w:val="fr-FR"/>
        </w:rPr>
        <w:t xml:space="preserve"> et </w:t>
      </w:r>
      <w:r w:rsidR="00CE3142" w:rsidRPr="00CE3142">
        <w:rPr>
          <w:rFonts w:asciiTheme="minorHAnsi" w:hAnsiTheme="minorHAnsi"/>
          <w:b/>
          <w:bCs/>
          <w:sz w:val="22"/>
          <w:lang w:val="fr-FR"/>
        </w:rPr>
        <w:t>des</w:t>
      </w:r>
      <w:r w:rsidRPr="00CE3142">
        <w:rPr>
          <w:rFonts w:asciiTheme="minorHAnsi" w:hAnsiTheme="minorHAnsi"/>
          <w:b/>
          <w:bCs/>
          <w:sz w:val="22"/>
          <w:lang w:val="fr-FR"/>
        </w:rPr>
        <w:t xml:space="preserve"> transformateurs </w:t>
      </w:r>
      <w:r w:rsidR="00CE3142" w:rsidRPr="00CE3142">
        <w:rPr>
          <w:rFonts w:asciiTheme="minorHAnsi" w:hAnsiTheme="minorHAnsi"/>
          <w:b/>
          <w:bCs/>
          <w:sz w:val="22"/>
          <w:lang w:val="fr-FR"/>
        </w:rPr>
        <w:t>de produits</w:t>
      </w:r>
      <w:r w:rsidR="00CE3142">
        <w:rPr>
          <w:rFonts w:asciiTheme="minorHAnsi" w:hAnsiTheme="minorHAnsi"/>
          <w:sz w:val="22"/>
          <w:lang w:val="fr-FR"/>
        </w:rPr>
        <w:t xml:space="preserve"> </w:t>
      </w:r>
      <w:r w:rsidRPr="005D1AD1">
        <w:rPr>
          <w:rFonts w:asciiTheme="minorHAnsi" w:hAnsiTheme="minorHAnsi"/>
          <w:sz w:val="22"/>
          <w:lang w:val="fr-FR"/>
        </w:rPr>
        <w:t xml:space="preserve">établissent des arrangements collectifs avec plusieurs fonctions: la stabilisation des prix (réserves de céréales et </w:t>
      </w:r>
      <w:r w:rsidR="00C04DE2">
        <w:rPr>
          <w:rFonts w:asciiTheme="minorHAnsi" w:hAnsiTheme="minorHAnsi"/>
          <w:sz w:val="22"/>
          <w:lang w:val="fr-FR"/>
        </w:rPr>
        <w:t>warrantages</w:t>
      </w:r>
      <w:r w:rsidRPr="005D1AD1">
        <w:rPr>
          <w:rFonts w:asciiTheme="minorHAnsi" w:hAnsiTheme="minorHAnsi"/>
          <w:sz w:val="22"/>
          <w:lang w:val="fr-FR"/>
        </w:rPr>
        <w:t xml:space="preserve">), </w:t>
      </w:r>
      <w:r w:rsidR="00C04DE2">
        <w:rPr>
          <w:rFonts w:asciiTheme="minorHAnsi" w:hAnsiTheme="minorHAnsi"/>
          <w:sz w:val="22"/>
          <w:lang w:val="fr-FR"/>
        </w:rPr>
        <w:t xml:space="preserve">la </w:t>
      </w:r>
      <w:r w:rsidRPr="005D1AD1">
        <w:rPr>
          <w:rFonts w:asciiTheme="minorHAnsi" w:hAnsiTheme="minorHAnsi"/>
          <w:sz w:val="22"/>
          <w:lang w:val="fr-FR"/>
        </w:rPr>
        <w:t xml:space="preserve">promotion de la production </w:t>
      </w:r>
      <w:r w:rsidR="00C04DE2">
        <w:rPr>
          <w:rFonts w:asciiTheme="minorHAnsi" w:hAnsiTheme="minorHAnsi"/>
          <w:sz w:val="22"/>
          <w:lang w:val="fr-FR"/>
        </w:rPr>
        <w:t xml:space="preserve">à travers des </w:t>
      </w:r>
      <w:r w:rsidRPr="005D1AD1">
        <w:rPr>
          <w:rFonts w:asciiTheme="minorHAnsi" w:hAnsiTheme="minorHAnsi"/>
          <w:sz w:val="22"/>
          <w:lang w:val="fr-FR"/>
        </w:rPr>
        <w:t xml:space="preserve">fonds </w:t>
      </w:r>
      <w:r w:rsidR="00C04DE2">
        <w:rPr>
          <w:rFonts w:asciiTheme="minorHAnsi" w:hAnsiTheme="minorHAnsi"/>
          <w:sz w:val="22"/>
          <w:lang w:val="fr-FR"/>
        </w:rPr>
        <w:t>rotatifs</w:t>
      </w:r>
      <w:r w:rsidRPr="005D1AD1">
        <w:rPr>
          <w:rFonts w:asciiTheme="minorHAnsi" w:hAnsiTheme="minorHAnsi"/>
          <w:sz w:val="22"/>
          <w:lang w:val="fr-FR"/>
        </w:rPr>
        <w:t xml:space="preserve"> et l'augmentation des revenus (marchés </w:t>
      </w:r>
      <w:r w:rsidR="00BE6E39">
        <w:rPr>
          <w:rFonts w:asciiTheme="minorHAnsi" w:hAnsiTheme="minorHAnsi"/>
          <w:sz w:val="22"/>
          <w:lang w:val="fr-FR"/>
        </w:rPr>
        <w:t xml:space="preserve">d’approvisionnement </w:t>
      </w:r>
      <w:r w:rsidRPr="005D1AD1">
        <w:rPr>
          <w:rFonts w:asciiTheme="minorHAnsi" w:hAnsiTheme="minorHAnsi"/>
          <w:sz w:val="22"/>
          <w:lang w:val="fr-FR"/>
        </w:rPr>
        <w:t xml:space="preserve">locaux). Ils </w:t>
      </w:r>
      <w:r w:rsidR="00BE6E39">
        <w:rPr>
          <w:rFonts w:asciiTheme="minorHAnsi" w:hAnsiTheme="minorHAnsi"/>
          <w:sz w:val="22"/>
          <w:lang w:val="fr-FR"/>
        </w:rPr>
        <w:t>conduisent</w:t>
      </w:r>
      <w:r w:rsidRPr="005D1AD1">
        <w:rPr>
          <w:rFonts w:asciiTheme="minorHAnsi" w:hAnsiTheme="minorHAnsi"/>
          <w:sz w:val="22"/>
          <w:lang w:val="fr-FR"/>
        </w:rPr>
        <w:t xml:space="preserve"> également des programmes de micro-assurance se co</w:t>
      </w:r>
      <w:r w:rsidR="00BE6E39">
        <w:rPr>
          <w:rFonts w:asciiTheme="minorHAnsi" w:hAnsiTheme="minorHAnsi"/>
          <w:sz w:val="22"/>
          <w:lang w:val="fr-FR"/>
        </w:rPr>
        <w:t xml:space="preserve">ncentrant sur des produits ou </w:t>
      </w:r>
      <w:r w:rsidRPr="005D1AD1">
        <w:rPr>
          <w:rFonts w:asciiTheme="minorHAnsi" w:hAnsiTheme="minorHAnsi"/>
          <w:sz w:val="22"/>
          <w:lang w:val="fr-FR"/>
        </w:rPr>
        <w:t xml:space="preserve">élevage </w:t>
      </w:r>
      <w:r w:rsidR="006A0464">
        <w:rPr>
          <w:rFonts w:asciiTheme="minorHAnsi" w:hAnsiTheme="minorHAnsi"/>
          <w:sz w:val="22"/>
          <w:lang w:val="fr-FR"/>
        </w:rPr>
        <w:t>sp</w:t>
      </w:r>
      <w:r w:rsidRPr="005D1AD1">
        <w:rPr>
          <w:rFonts w:asciiTheme="minorHAnsi" w:hAnsiTheme="minorHAnsi"/>
          <w:sz w:val="22"/>
          <w:lang w:val="fr-FR"/>
        </w:rPr>
        <w:t xml:space="preserve">écifiques. Plusieurs </w:t>
      </w:r>
      <w:r w:rsidRPr="00BE6E39">
        <w:rPr>
          <w:rFonts w:asciiTheme="minorHAnsi" w:hAnsiTheme="minorHAnsi"/>
          <w:b/>
          <w:bCs/>
          <w:sz w:val="22"/>
          <w:lang w:val="fr-FR"/>
        </w:rPr>
        <w:t>groupes informels</w:t>
      </w:r>
      <w:r w:rsidRPr="005D1AD1">
        <w:rPr>
          <w:rFonts w:asciiTheme="minorHAnsi" w:hAnsiTheme="minorHAnsi"/>
          <w:sz w:val="22"/>
          <w:lang w:val="fr-FR"/>
        </w:rPr>
        <w:t xml:space="preserve"> de pauvres </w:t>
      </w:r>
      <w:r w:rsidR="00BE6E39">
        <w:rPr>
          <w:rFonts w:asciiTheme="minorHAnsi" w:hAnsiTheme="minorHAnsi"/>
          <w:sz w:val="22"/>
          <w:lang w:val="fr-FR"/>
        </w:rPr>
        <w:t>ruraux</w:t>
      </w:r>
      <w:r w:rsidRPr="005D1AD1">
        <w:rPr>
          <w:rFonts w:asciiTheme="minorHAnsi" w:hAnsiTheme="minorHAnsi"/>
          <w:sz w:val="22"/>
          <w:lang w:val="fr-FR"/>
        </w:rPr>
        <w:t xml:space="preserve"> ne sont pas officiellement enregistrés par des politiques et des lois nationales, mais font partie intégrante des structures sociales des communautés locales. Dans certains cas, ces groupes offrent un accès à la liquidité pour les membres de la communauté en cas de catastrophe ou d'un besoin, pour résister aux chocs ou pour démarrer activités de subsistance. Ils peuvent prendre la forme </w:t>
      </w:r>
      <w:r w:rsidR="00FC073F">
        <w:rPr>
          <w:rFonts w:asciiTheme="minorHAnsi" w:hAnsiTheme="minorHAnsi"/>
          <w:sz w:val="22"/>
          <w:lang w:val="fr-FR"/>
        </w:rPr>
        <w:t xml:space="preserve">de plans </w:t>
      </w:r>
      <w:r w:rsidRPr="005D1AD1">
        <w:rPr>
          <w:rFonts w:asciiTheme="minorHAnsi" w:hAnsiTheme="minorHAnsi"/>
          <w:sz w:val="22"/>
          <w:lang w:val="fr-FR"/>
        </w:rPr>
        <w:t xml:space="preserve">d'épargne </w:t>
      </w:r>
      <w:r w:rsidR="00FC073F">
        <w:rPr>
          <w:rFonts w:asciiTheme="minorHAnsi" w:hAnsiTheme="minorHAnsi"/>
          <w:sz w:val="22"/>
          <w:lang w:val="fr-FR"/>
        </w:rPr>
        <w:t xml:space="preserve">et </w:t>
      </w:r>
      <w:r w:rsidR="00FC44E0">
        <w:rPr>
          <w:rFonts w:asciiTheme="minorHAnsi" w:hAnsiTheme="minorHAnsi"/>
          <w:sz w:val="22"/>
          <w:lang w:val="fr-FR"/>
        </w:rPr>
        <w:t xml:space="preserve">de </w:t>
      </w:r>
      <w:r w:rsidR="00FC073F">
        <w:rPr>
          <w:rFonts w:asciiTheme="minorHAnsi" w:hAnsiTheme="minorHAnsi"/>
          <w:sz w:val="22"/>
          <w:lang w:val="fr-FR"/>
        </w:rPr>
        <w:t xml:space="preserve">prêts </w:t>
      </w:r>
      <w:r w:rsidRPr="005D1AD1">
        <w:rPr>
          <w:rFonts w:asciiTheme="minorHAnsi" w:hAnsiTheme="minorHAnsi"/>
          <w:sz w:val="22"/>
          <w:lang w:val="fr-FR"/>
        </w:rPr>
        <w:t xml:space="preserve">communautaires, comme les </w:t>
      </w:r>
      <w:r w:rsidR="00FC073F">
        <w:rPr>
          <w:rFonts w:asciiTheme="minorHAnsi" w:hAnsiTheme="minorHAnsi"/>
          <w:sz w:val="22"/>
          <w:lang w:val="fr-FR"/>
        </w:rPr>
        <w:t>Associations d'Épargne et de C</w:t>
      </w:r>
      <w:r w:rsidRPr="005D1AD1">
        <w:rPr>
          <w:rFonts w:asciiTheme="minorHAnsi" w:hAnsiTheme="minorHAnsi"/>
          <w:sz w:val="22"/>
          <w:lang w:val="fr-FR"/>
        </w:rPr>
        <w:t xml:space="preserve">rédit </w:t>
      </w:r>
      <w:r w:rsidR="00FC073F">
        <w:rPr>
          <w:rFonts w:asciiTheme="minorHAnsi" w:hAnsiTheme="minorHAnsi"/>
          <w:sz w:val="22"/>
          <w:lang w:val="fr-FR"/>
        </w:rPr>
        <w:t>R</w:t>
      </w:r>
      <w:r w:rsidR="00FC073F" w:rsidRPr="005D1AD1">
        <w:rPr>
          <w:rFonts w:asciiTheme="minorHAnsi" w:hAnsiTheme="minorHAnsi"/>
          <w:sz w:val="22"/>
          <w:lang w:val="fr-FR"/>
        </w:rPr>
        <w:t xml:space="preserve">otatives </w:t>
      </w:r>
      <w:r w:rsidRPr="005D1AD1">
        <w:rPr>
          <w:rFonts w:asciiTheme="minorHAnsi" w:hAnsiTheme="minorHAnsi"/>
          <w:sz w:val="22"/>
          <w:lang w:val="fr-FR"/>
        </w:rPr>
        <w:t>(</w:t>
      </w:r>
      <w:proofErr w:type="spellStart"/>
      <w:r w:rsidR="00FC073F">
        <w:rPr>
          <w:rFonts w:asciiTheme="minorHAnsi" w:hAnsiTheme="minorHAnsi"/>
          <w:sz w:val="22"/>
          <w:lang w:val="fr-FR"/>
        </w:rPr>
        <w:t>ROSCAs</w:t>
      </w:r>
      <w:proofErr w:type="spellEnd"/>
      <w:r w:rsidRPr="005D1AD1">
        <w:rPr>
          <w:rFonts w:asciiTheme="minorHAnsi" w:hAnsiTheme="minorHAnsi"/>
          <w:sz w:val="22"/>
          <w:lang w:val="fr-FR"/>
        </w:rPr>
        <w:t xml:space="preserve">), </w:t>
      </w:r>
      <w:r w:rsidR="00FC44E0">
        <w:rPr>
          <w:rFonts w:asciiTheme="minorHAnsi" w:hAnsiTheme="minorHAnsi"/>
          <w:sz w:val="22"/>
          <w:lang w:val="fr-FR"/>
        </w:rPr>
        <w:t xml:space="preserve">les </w:t>
      </w:r>
      <w:r w:rsidR="00FC073F">
        <w:rPr>
          <w:rFonts w:asciiTheme="minorHAnsi" w:hAnsiTheme="minorHAnsi"/>
          <w:sz w:val="22"/>
          <w:lang w:val="fr-FR"/>
        </w:rPr>
        <w:t>Associations d'Épargne et de C</w:t>
      </w:r>
      <w:r w:rsidR="00FC073F" w:rsidRPr="005D1AD1">
        <w:rPr>
          <w:rFonts w:asciiTheme="minorHAnsi" w:hAnsiTheme="minorHAnsi"/>
          <w:sz w:val="22"/>
          <w:lang w:val="fr-FR"/>
        </w:rPr>
        <w:t>rédit</w:t>
      </w:r>
      <w:r w:rsidR="00FC073F">
        <w:rPr>
          <w:rFonts w:asciiTheme="minorHAnsi" w:hAnsiTheme="minorHAnsi"/>
          <w:sz w:val="22"/>
          <w:lang w:val="fr-FR"/>
        </w:rPr>
        <w:t xml:space="preserve"> A</w:t>
      </w:r>
      <w:r w:rsidRPr="005D1AD1">
        <w:rPr>
          <w:rFonts w:asciiTheme="minorHAnsi" w:hAnsiTheme="minorHAnsi"/>
          <w:sz w:val="22"/>
          <w:lang w:val="fr-FR"/>
        </w:rPr>
        <w:t xml:space="preserve">ccumulée </w:t>
      </w:r>
      <w:r w:rsidR="00FC073F">
        <w:rPr>
          <w:rFonts w:asciiTheme="minorHAnsi" w:hAnsiTheme="minorHAnsi"/>
          <w:sz w:val="22"/>
          <w:lang w:val="fr-FR"/>
        </w:rPr>
        <w:t>(</w:t>
      </w:r>
      <w:proofErr w:type="spellStart"/>
      <w:r w:rsidRPr="005D1AD1">
        <w:rPr>
          <w:rFonts w:asciiTheme="minorHAnsi" w:hAnsiTheme="minorHAnsi"/>
          <w:sz w:val="22"/>
          <w:lang w:val="fr-FR"/>
        </w:rPr>
        <w:t>ASCA</w:t>
      </w:r>
      <w:r w:rsidR="00FC073F">
        <w:rPr>
          <w:rFonts w:asciiTheme="minorHAnsi" w:hAnsiTheme="minorHAnsi"/>
          <w:sz w:val="22"/>
          <w:lang w:val="fr-FR"/>
        </w:rPr>
        <w:t>s</w:t>
      </w:r>
      <w:proofErr w:type="spellEnd"/>
      <w:r w:rsidRPr="005D1AD1">
        <w:rPr>
          <w:rFonts w:asciiTheme="minorHAnsi" w:hAnsiTheme="minorHAnsi"/>
          <w:sz w:val="22"/>
          <w:lang w:val="fr-FR"/>
        </w:rPr>
        <w:t xml:space="preserve">), </w:t>
      </w:r>
      <w:r w:rsidR="00FC44E0">
        <w:rPr>
          <w:rFonts w:asciiTheme="minorHAnsi" w:hAnsiTheme="minorHAnsi"/>
          <w:sz w:val="22"/>
          <w:lang w:val="fr-FR"/>
        </w:rPr>
        <w:t xml:space="preserve">les </w:t>
      </w:r>
      <w:r w:rsidR="00FC073F">
        <w:rPr>
          <w:rFonts w:asciiTheme="minorHAnsi" w:hAnsiTheme="minorHAnsi"/>
          <w:sz w:val="22"/>
          <w:lang w:val="fr-FR"/>
        </w:rPr>
        <w:t>A</w:t>
      </w:r>
      <w:r w:rsidR="00FC073F" w:rsidRPr="005D1AD1">
        <w:rPr>
          <w:rFonts w:asciiTheme="minorHAnsi" w:hAnsiTheme="minorHAnsi"/>
          <w:sz w:val="22"/>
          <w:lang w:val="fr-FR"/>
        </w:rPr>
        <w:t xml:space="preserve">ssociations </w:t>
      </w:r>
      <w:r w:rsidR="00FC073F">
        <w:rPr>
          <w:rFonts w:asciiTheme="minorHAnsi" w:hAnsiTheme="minorHAnsi"/>
          <w:sz w:val="22"/>
          <w:lang w:val="fr-FR"/>
        </w:rPr>
        <w:t>d'É</w:t>
      </w:r>
      <w:r w:rsidRPr="005D1AD1">
        <w:rPr>
          <w:rFonts w:asciiTheme="minorHAnsi" w:hAnsiTheme="minorHAnsi"/>
          <w:sz w:val="22"/>
          <w:lang w:val="fr-FR"/>
        </w:rPr>
        <w:t xml:space="preserve">pargne et de </w:t>
      </w:r>
      <w:r w:rsidR="00FC073F">
        <w:rPr>
          <w:rFonts w:asciiTheme="minorHAnsi" w:hAnsiTheme="minorHAnsi"/>
          <w:sz w:val="22"/>
          <w:lang w:val="fr-FR"/>
        </w:rPr>
        <w:t>P</w:t>
      </w:r>
      <w:r w:rsidRPr="005D1AD1">
        <w:rPr>
          <w:rFonts w:asciiTheme="minorHAnsi" w:hAnsiTheme="minorHAnsi"/>
          <w:sz w:val="22"/>
          <w:lang w:val="fr-FR"/>
        </w:rPr>
        <w:t xml:space="preserve">rêt </w:t>
      </w:r>
      <w:r w:rsidR="00FC073F">
        <w:rPr>
          <w:rFonts w:asciiTheme="minorHAnsi" w:hAnsiTheme="minorHAnsi"/>
          <w:sz w:val="22"/>
          <w:lang w:val="fr-FR"/>
        </w:rPr>
        <w:t>de V</w:t>
      </w:r>
      <w:r w:rsidR="00FC073F" w:rsidRPr="005D1AD1">
        <w:rPr>
          <w:rFonts w:asciiTheme="minorHAnsi" w:hAnsiTheme="minorHAnsi"/>
          <w:sz w:val="22"/>
          <w:lang w:val="fr-FR"/>
        </w:rPr>
        <w:t xml:space="preserve">illage </w:t>
      </w:r>
      <w:r w:rsidRPr="005D1AD1">
        <w:rPr>
          <w:rFonts w:asciiTheme="minorHAnsi" w:hAnsiTheme="minorHAnsi"/>
          <w:sz w:val="22"/>
          <w:lang w:val="fr-FR"/>
        </w:rPr>
        <w:t xml:space="preserve">(les </w:t>
      </w:r>
      <w:proofErr w:type="spellStart"/>
      <w:r w:rsidR="00FC073F">
        <w:rPr>
          <w:rFonts w:asciiTheme="minorHAnsi" w:hAnsiTheme="minorHAnsi"/>
          <w:sz w:val="22"/>
          <w:lang w:val="fr-FR"/>
        </w:rPr>
        <w:t>VSLAs</w:t>
      </w:r>
      <w:proofErr w:type="spellEnd"/>
      <w:r w:rsidRPr="005D1AD1">
        <w:rPr>
          <w:rFonts w:asciiTheme="minorHAnsi" w:hAnsiTheme="minorHAnsi"/>
          <w:sz w:val="22"/>
          <w:lang w:val="fr-FR"/>
        </w:rPr>
        <w:t>)</w:t>
      </w:r>
      <w:r w:rsidR="00FC073F">
        <w:rPr>
          <w:rFonts w:asciiTheme="minorHAnsi" w:hAnsiTheme="minorHAnsi"/>
          <w:sz w:val="22"/>
          <w:lang w:val="fr-FR"/>
        </w:rPr>
        <w:t>,</w:t>
      </w:r>
      <w:r w:rsidRPr="005D1AD1">
        <w:rPr>
          <w:rFonts w:asciiTheme="minorHAnsi" w:hAnsiTheme="minorHAnsi"/>
          <w:sz w:val="22"/>
          <w:lang w:val="fr-FR"/>
        </w:rPr>
        <w:t xml:space="preserve"> ou fournir des services sociaux de base (par exemple </w:t>
      </w:r>
      <w:r w:rsidR="00FC073F" w:rsidRPr="005D1AD1">
        <w:rPr>
          <w:rFonts w:asciiTheme="minorHAnsi" w:hAnsiTheme="minorHAnsi"/>
          <w:sz w:val="22"/>
          <w:lang w:val="fr-FR"/>
        </w:rPr>
        <w:t xml:space="preserve">les associations </w:t>
      </w:r>
      <w:r w:rsidR="00FC073F">
        <w:rPr>
          <w:rFonts w:asciiTheme="minorHAnsi" w:hAnsiTheme="minorHAnsi"/>
          <w:sz w:val="22"/>
          <w:lang w:val="fr-FR"/>
        </w:rPr>
        <w:t>d’enterrement</w:t>
      </w:r>
      <w:r w:rsidRPr="005D1AD1">
        <w:rPr>
          <w:rFonts w:asciiTheme="minorHAnsi" w:hAnsiTheme="minorHAnsi"/>
          <w:sz w:val="22"/>
          <w:lang w:val="fr-FR"/>
        </w:rPr>
        <w:t xml:space="preserve">, les groupes de </w:t>
      </w:r>
      <w:r w:rsidR="00FC073F">
        <w:rPr>
          <w:rFonts w:asciiTheme="minorHAnsi" w:hAnsiTheme="minorHAnsi"/>
          <w:sz w:val="22"/>
          <w:lang w:val="fr-FR"/>
        </w:rPr>
        <w:t>logement</w:t>
      </w:r>
      <w:r w:rsidRPr="005D1AD1">
        <w:rPr>
          <w:rFonts w:asciiTheme="minorHAnsi" w:hAnsiTheme="minorHAnsi"/>
          <w:sz w:val="22"/>
          <w:lang w:val="fr-FR"/>
        </w:rPr>
        <w:t xml:space="preserve"> commun).</w:t>
      </w:r>
    </w:p>
    <w:p w14:paraId="2C42473C" w14:textId="766B1EF7" w:rsidR="00016780" w:rsidRPr="0019396F" w:rsidRDefault="00F97682" w:rsidP="00481785">
      <w:pPr>
        <w:spacing w:after="60"/>
        <w:jc w:val="both"/>
        <w:rPr>
          <w:rFonts w:asciiTheme="minorHAnsi" w:hAnsiTheme="minorHAnsi"/>
          <w:sz w:val="20"/>
          <w:szCs w:val="20"/>
          <w:lang w:val="fr-FR"/>
        </w:rPr>
      </w:pPr>
      <w:r>
        <w:rPr>
          <w:rFonts w:asciiTheme="minorHAnsi" w:hAnsiTheme="minorHAnsi"/>
          <w:bCs/>
          <w:noProof/>
          <w:sz w:val="20"/>
          <w:szCs w:val="20"/>
          <w:lang w:eastAsia="en-GB"/>
        </w:rPr>
        <w:lastRenderedPageBreak/>
        <w:pict w14:anchorId="3A13D983">
          <v:shape id="_x0000_s1026" type="#_x0000_t202" style="position:absolute;left:0;text-align:left;margin-left:.8pt;margin-top:1.25pt;width:453.05pt;height:83.1pt;z-index:251658240;visibility:visible" fillcolor="#8aabd3 [2132]" strokecolor="#243f60 [1604]" strokeweight="1.5pt">
            <v:fill color2="#d6e2f0 [756]" colors="0 #9ab5e4;.5 #c2d1ed;1 #e1e8f5" focus="100%" type="gradient">
              <o:fill v:ext="view" type="gradientUnscaled"/>
            </v:fill>
            <v:textbox>
              <w:txbxContent>
                <w:p w14:paraId="1AF390B8" w14:textId="08B59D3C" w:rsidR="00C8272C" w:rsidRPr="00C8272C" w:rsidRDefault="00C8272C" w:rsidP="0089090E">
                  <w:pPr>
                    <w:spacing w:after="60"/>
                    <w:jc w:val="both"/>
                    <w:rPr>
                      <w:rFonts w:asciiTheme="minorHAnsi" w:hAnsiTheme="minorHAnsi"/>
                      <w:bCs/>
                      <w:sz w:val="18"/>
                      <w:szCs w:val="18"/>
                      <w:lang w:val="fr-FR"/>
                    </w:rPr>
                  </w:pPr>
                  <w:r w:rsidRPr="00C8272C">
                    <w:rPr>
                      <w:rFonts w:asciiTheme="minorHAnsi" w:hAnsiTheme="minorHAnsi"/>
                      <w:bCs/>
                      <w:sz w:val="18"/>
                      <w:szCs w:val="18"/>
                      <w:lang w:val="fr-FR"/>
                    </w:rPr>
                    <w:t>En regardant au</w:t>
                  </w:r>
                  <w:r w:rsidR="00FC44E0">
                    <w:rPr>
                      <w:rFonts w:asciiTheme="minorHAnsi" w:hAnsiTheme="minorHAnsi"/>
                      <w:bCs/>
                      <w:sz w:val="18"/>
                      <w:szCs w:val="18"/>
                      <w:lang w:val="fr-FR"/>
                    </w:rPr>
                    <w:t xml:space="preserve"> sens</w:t>
                  </w:r>
                  <w:r w:rsidRPr="00C8272C">
                    <w:rPr>
                      <w:rFonts w:asciiTheme="minorHAnsi" w:hAnsiTheme="minorHAnsi"/>
                      <w:bCs/>
                      <w:sz w:val="18"/>
                      <w:szCs w:val="18"/>
                      <w:lang w:val="fr-FR"/>
                    </w:rPr>
                    <w:t xml:space="preserve"> large </w:t>
                  </w:r>
                  <w:r w:rsidR="0089090E">
                    <w:rPr>
                      <w:rFonts w:asciiTheme="minorHAnsi" w:hAnsiTheme="minorHAnsi"/>
                      <w:bCs/>
                      <w:sz w:val="18"/>
                      <w:szCs w:val="18"/>
                      <w:lang w:val="fr-FR"/>
                    </w:rPr>
                    <w:t xml:space="preserve">les mandats des </w:t>
                  </w:r>
                  <w:proofErr w:type="spellStart"/>
                  <w:r w:rsidR="0089090E">
                    <w:rPr>
                      <w:rFonts w:asciiTheme="minorHAnsi" w:hAnsiTheme="minorHAnsi"/>
                      <w:bCs/>
                      <w:sz w:val="18"/>
                      <w:szCs w:val="18"/>
                      <w:lang w:val="fr-FR"/>
                    </w:rPr>
                    <w:t>ORs</w:t>
                  </w:r>
                  <w:proofErr w:type="spellEnd"/>
                  <w:r w:rsidRPr="00C8272C">
                    <w:rPr>
                      <w:rFonts w:asciiTheme="minorHAnsi" w:hAnsiTheme="minorHAnsi"/>
                      <w:bCs/>
                      <w:sz w:val="18"/>
                      <w:szCs w:val="18"/>
                      <w:lang w:val="fr-FR"/>
                    </w:rPr>
                    <w:t xml:space="preserve">, </w:t>
                  </w:r>
                  <w:r w:rsidR="0089090E">
                    <w:rPr>
                      <w:rFonts w:asciiTheme="minorHAnsi" w:hAnsiTheme="minorHAnsi"/>
                      <w:bCs/>
                      <w:sz w:val="18"/>
                      <w:szCs w:val="18"/>
                      <w:lang w:val="fr-FR"/>
                    </w:rPr>
                    <w:t>le</w:t>
                  </w:r>
                  <w:r w:rsidRPr="00C8272C">
                    <w:rPr>
                      <w:rFonts w:asciiTheme="minorHAnsi" w:hAnsiTheme="minorHAnsi"/>
                      <w:bCs/>
                      <w:sz w:val="18"/>
                      <w:szCs w:val="18"/>
                      <w:lang w:val="fr-FR"/>
                    </w:rPr>
                    <w:t xml:space="preserve"> risque </w:t>
                  </w:r>
                  <w:r w:rsidR="0089090E">
                    <w:rPr>
                      <w:rFonts w:asciiTheme="minorHAnsi" w:hAnsiTheme="minorHAnsi"/>
                      <w:bCs/>
                      <w:sz w:val="18"/>
                      <w:szCs w:val="18"/>
                      <w:lang w:val="fr-FR"/>
                    </w:rPr>
                    <w:t xml:space="preserve">est </w:t>
                  </w:r>
                  <w:r w:rsidRPr="00C8272C">
                    <w:rPr>
                      <w:rFonts w:asciiTheme="minorHAnsi" w:hAnsiTheme="minorHAnsi"/>
                      <w:bCs/>
                      <w:sz w:val="18"/>
                      <w:szCs w:val="18"/>
                      <w:lang w:val="fr-FR"/>
                    </w:rPr>
                    <w:t xml:space="preserve">de fausser la nature de </w:t>
                  </w:r>
                  <w:r w:rsidR="0089090E">
                    <w:rPr>
                      <w:rFonts w:asciiTheme="minorHAnsi" w:hAnsiTheme="minorHAnsi"/>
                      <w:bCs/>
                      <w:sz w:val="18"/>
                      <w:szCs w:val="18"/>
                      <w:lang w:val="fr-FR"/>
                    </w:rPr>
                    <w:t>la PS, en incluant</w:t>
                  </w:r>
                  <w:r w:rsidRPr="00C8272C">
                    <w:rPr>
                      <w:rFonts w:asciiTheme="minorHAnsi" w:hAnsiTheme="minorHAnsi"/>
                      <w:bCs/>
                      <w:sz w:val="18"/>
                      <w:szCs w:val="18"/>
                      <w:lang w:val="fr-FR"/>
                    </w:rPr>
                    <w:t xml:space="preserve"> toute</w:t>
                  </w:r>
                  <w:r w:rsidR="0089090E">
                    <w:rPr>
                      <w:rFonts w:asciiTheme="minorHAnsi" w:hAnsiTheme="minorHAnsi"/>
                      <w:bCs/>
                      <w:sz w:val="18"/>
                      <w:szCs w:val="18"/>
                      <w:lang w:val="fr-FR"/>
                    </w:rPr>
                    <w:t>s</w:t>
                  </w:r>
                  <w:r w:rsidRPr="00C8272C">
                    <w:rPr>
                      <w:rFonts w:asciiTheme="minorHAnsi" w:hAnsiTheme="minorHAnsi"/>
                      <w:bCs/>
                      <w:sz w:val="18"/>
                      <w:szCs w:val="18"/>
                      <w:lang w:val="fr-FR"/>
                    </w:rPr>
                    <w:t xml:space="preserve"> </w:t>
                  </w:r>
                  <w:r w:rsidR="0089090E">
                    <w:rPr>
                      <w:rFonts w:asciiTheme="minorHAnsi" w:hAnsiTheme="minorHAnsi"/>
                      <w:bCs/>
                      <w:sz w:val="18"/>
                      <w:szCs w:val="18"/>
                      <w:lang w:val="fr-FR"/>
                    </w:rPr>
                    <w:t xml:space="preserve">les </w:t>
                  </w:r>
                  <w:r w:rsidRPr="00C8272C">
                    <w:rPr>
                      <w:rFonts w:asciiTheme="minorHAnsi" w:hAnsiTheme="minorHAnsi"/>
                      <w:bCs/>
                      <w:sz w:val="18"/>
                      <w:szCs w:val="18"/>
                      <w:lang w:val="fr-FR"/>
                    </w:rPr>
                    <w:t>pratique</w:t>
                  </w:r>
                  <w:r w:rsidR="0089090E">
                    <w:rPr>
                      <w:rFonts w:asciiTheme="minorHAnsi" w:hAnsiTheme="minorHAnsi"/>
                      <w:bCs/>
                      <w:sz w:val="18"/>
                      <w:szCs w:val="18"/>
                      <w:lang w:val="fr-FR"/>
                    </w:rPr>
                    <w:t>s</w:t>
                  </w:r>
                  <w:r w:rsidRPr="00C8272C">
                    <w:rPr>
                      <w:rFonts w:asciiTheme="minorHAnsi" w:hAnsiTheme="minorHAnsi"/>
                      <w:bCs/>
                      <w:sz w:val="18"/>
                      <w:szCs w:val="18"/>
                      <w:lang w:val="fr-FR"/>
                    </w:rPr>
                    <w:t xml:space="preserve"> de promotion de moyens de subsistance. Pour cette raison, </w:t>
                  </w:r>
                  <w:r w:rsidRPr="0089090E">
                    <w:rPr>
                      <w:rFonts w:asciiTheme="minorHAnsi" w:hAnsiTheme="minorHAnsi"/>
                      <w:b/>
                      <w:sz w:val="18"/>
                      <w:szCs w:val="18"/>
                      <w:lang w:val="fr-FR"/>
                    </w:rPr>
                    <w:t xml:space="preserve">nous allons nous référer à </w:t>
                  </w:r>
                  <w:r w:rsidR="0089090E">
                    <w:rPr>
                      <w:rFonts w:asciiTheme="minorHAnsi" w:hAnsiTheme="minorHAnsi"/>
                      <w:b/>
                      <w:sz w:val="18"/>
                      <w:szCs w:val="18"/>
                      <w:lang w:val="fr-FR"/>
                    </w:rPr>
                    <w:t>la PS</w:t>
                  </w:r>
                  <w:r w:rsidRPr="0089090E">
                    <w:rPr>
                      <w:rFonts w:asciiTheme="minorHAnsi" w:hAnsiTheme="minorHAnsi"/>
                      <w:b/>
                      <w:sz w:val="18"/>
                      <w:szCs w:val="18"/>
                      <w:lang w:val="fr-FR"/>
                    </w:rPr>
                    <w:t xml:space="preserve"> où les pratiques répondent strictement </w:t>
                  </w:r>
                  <w:r w:rsidR="00FC44E0">
                    <w:rPr>
                      <w:rFonts w:asciiTheme="minorHAnsi" w:hAnsiTheme="minorHAnsi"/>
                      <w:b/>
                      <w:sz w:val="18"/>
                      <w:szCs w:val="18"/>
                      <w:lang w:val="fr-FR"/>
                    </w:rPr>
                    <w:t>à des</w:t>
                  </w:r>
                  <w:r w:rsidRPr="0089090E">
                    <w:rPr>
                      <w:rFonts w:asciiTheme="minorHAnsi" w:hAnsiTheme="minorHAnsi"/>
                      <w:b/>
                      <w:sz w:val="18"/>
                      <w:szCs w:val="18"/>
                      <w:lang w:val="fr-FR"/>
                    </w:rPr>
                    <w:t xml:space="preserve"> situations de pauvreté et de</w:t>
                  </w:r>
                  <w:r w:rsidR="0089090E">
                    <w:rPr>
                      <w:rFonts w:asciiTheme="minorHAnsi" w:hAnsiTheme="minorHAnsi"/>
                      <w:b/>
                      <w:sz w:val="18"/>
                      <w:szCs w:val="18"/>
                      <w:lang w:val="fr-FR"/>
                    </w:rPr>
                    <w:t xml:space="preserve"> vulnérabilité, c’</w:t>
                  </w:r>
                  <w:r w:rsidRPr="0089090E">
                    <w:rPr>
                      <w:rFonts w:asciiTheme="minorHAnsi" w:hAnsiTheme="minorHAnsi"/>
                      <w:b/>
                      <w:sz w:val="18"/>
                      <w:szCs w:val="18"/>
                      <w:lang w:val="fr-FR"/>
                    </w:rPr>
                    <w:t>est à dire quand, si ces pratiques n</w:t>
                  </w:r>
                  <w:r w:rsidR="00020938">
                    <w:rPr>
                      <w:rFonts w:asciiTheme="minorHAnsi" w:hAnsiTheme="minorHAnsi"/>
                      <w:b/>
                      <w:sz w:val="18"/>
                      <w:szCs w:val="18"/>
                      <w:lang w:val="fr-FR"/>
                    </w:rPr>
                    <w:t>‘</w:t>
                  </w:r>
                  <w:r w:rsidR="0089090E">
                    <w:rPr>
                      <w:rFonts w:asciiTheme="minorHAnsi" w:hAnsiTheme="minorHAnsi"/>
                      <w:b/>
                      <w:sz w:val="18"/>
                      <w:szCs w:val="18"/>
                      <w:lang w:val="fr-FR"/>
                    </w:rPr>
                    <w:t>a</w:t>
                  </w:r>
                  <w:r w:rsidR="00020938">
                    <w:rPr>
                      <w:rFonts w:asciiTheme="minorHAnsi" w:hAnsiTheme="minorHAnsi"/>
                      <w:b/>
                      <w:sz w:val="18"/>
                      <w:szCs w:val="18"/>
                      <w:lang w:val="fr-FR"/>
                    </w:rPr>
                    <w:t>va</w:t>
                  </w:r>
                  <w:r w:rsidR="0089090E">
                    <w:rPr>
                      <w:rFonts w:asciiTheme="minorHAnsi" w:hAnsiTheme="minorHAnsi"/>
                      <w:b/>
                      <w:sz w:val="18"/>
                      <w:szCs w:val="18"/>
                      <w:lang w:val="fr-FR"/>
                    </w:rPr>
                    <w:t>ient</w:t>
                  </w:r>
                  <w:r w:rsidRPr="0089090E">
                    <w:rPr>
                      <w:rFonts w:asciiTheme="minorHAnsi" w:hAnsiTheme="minorHAnsi"/>
                      <w:b/>
                      <w:sz w:val="18"/>
                      <w:szCs w:val="18"/>
                      <w:lang w:val="fr-FR"/>
                    </w:rPr>
                    <w:t xml:space="preserve"> pas été mises en place, les bénéficiaires ciblés ne seraient pas en mesure de subvenir à leurs besoins de base </w:t>
                  </w:r>
                  <w:r w:rsidR="0089090E">
                    <w:rPr>
                      <w:rFonts w:asciiTheme="minorHAnsi" w:hAnsiTheme="minorHAnsi"/>
                      <w:b/>
                      <w:sz w:val="18"/>
                      <w:szCs w:val="18"/>
                      <w:lang w:val="fr-FR"/>
                    </w:rPr>
                    <w:t xml:space="preserve">(nourriture, santé, logement, </w:t>
                  </w:r>
                  <w:r w:rsidRPr="0089090E">
                    <w:rPr>
                      <w:rFonts w:asciiTheme="minorHAnsi" w:hAnsiTheme="minorHAnsi"/>
                      <w:b/>
                      <w:sz w:val="18"/>
                      <w:szCs w:val="18"/>
                      <w:lang w:val="fr-FR"/>
                    </w:rPr>
                    <w:t xml:space="preserve">éducation de base), ou </w:t>
                  </w:r>
                  <w:r w:rsidR="0089090E">
                    <w:rPr>
                      <w:rFonts w:asciiTheme="minorHAnsi" w:hAnsiTheme="minorHAnsi"/>
                      <w:b/>
                      <w:sz w:val="18"/>
                      <w:szCs w:val="18"/>
                      <w:lang w:val="fr-FR"/>
                    </w:rPr>
                    <w:t xml:space="preserve">ils </w:t>
                  </w:r>
                  <w:r w:rsidRPr="0089090E">
                    <w:rPr>
                      <w:rFonts w:asciiTheme="minorHAnsi" w:hAnsiTheme="minorHAnsi"/>
                      <w:b/>
                      <w:sz w:val="18"/>
                      <w:szCs w:val="18"/>
                      <w:lang w:val="fr-FR"/>
                    </w:rPr>
                    <w:t>serai</w:t>
                  </w:r>
                  <w:r w:rsidR="0089090E">
                    <w:rPr>
                      <w:rFonts w:asciiTheme="minorHAnsi" w:hAnsiTheme="minorHAnsi"/>
                      <w:b/>
                      <w:sz w:val="18"/>
                      <w:szCs w:val="18"/>
                      <w:lang w:val="fr-FR"/>
                    </w:rPr>
                    <w:t>en</w:t>
                  </w:r>
                  <w:r w:rsidRPr="0089090E">
                    <w:rPr>
                      <w:rFonts w:asciiTheme="minorHAnsi" w:hAnsiTheme="minorHAnsi"/>
                      <w:b/>
                      <w:sz w:val="18"/>
                      <w:szCs w:val="18"/>
                      <w:lang w:val="fr-FR"/>
                    </w:rPr>
                    <w:t>t sérieusement risqué</w:t>
                  </w:r>
                  <w:r w:rsidR="00020938">
                    <w:rPr>
                      <w:rFonts w:asciiTheme="minorHAnsi" w:hAnsiTheme="minorHAnsi"/>
                      <w:b/>
                      <w:sz w:val="18"/>
                      <w:szCs w:val="18"/>
                      <w:lang w:val="fr-FR"/>
                    </w:rPr>
                    <w:t>s</w:t>
                  </w:r>
                  <w:r w:rsidRPr="0089090E">
                    <w:rPr>
                      <w:rFonts w:asciiTheme="minorHAnsi" w:hAnsiTheme="minorHAnsi"/>
                      <w:b/>
                      <w:sz w:val="18"/>
                      <w:szCs w:val="18"/>
                      <w:lang w:val="fr-FR"/>
                    </w:rPr>
                    <w:t xml:space="preserve"> d</w:t>
                  </w:r>
                  <w:r w:rsidR="00020938">
                    <w:rPr>
                      <w:rFonts w:asciiTheme="minorHAnsi" w:hAnsiTheme="minorHAnsi"/>
                      <w:b/>
                      <w:sz w:val="18"/>
                      <w:szCs w:val="18"/>
                      <w:lang w:val="fr-FR"/>
                    </w:rPr>
                    <w:t>‘</w:t>
                  </w:r>
                  <w:r w:rsidR="0089090E">
                    <w:rPr>
                      <w:rFonts w:asciiTheme="minorHAnsi" w:hAnsiTheme="minorHAnsi"/>
                      <w:b/>
                      <w:sz w:val="18"/>
                      <w:szCs w:val="18"/>
                      <w:lang w:val="fr-FR"/>
                    </w:rPr>
                    <w:t>être expos</w:t>
                  </w:r>
                  <w:r w:rsidR="00020938">
                    <w:rPr>
                      <w:rFonts w:asciiTheme="minorHAnsi" w:hAnsiTheme="minorHAnsi"/>
                      <w:b/>
                      <w:sz w:val="18"/>
                      <w:szCs w:val="18"/>
                      <w:lang w:val="fr-FR"/>
                    </w:rPr>
                    <w:t>é</w:t>
                  </w:r>
                  <w:r w:rsidR="0089090E">
                    <w:rPr>
                      <w:rFonts w:asciiTheme="minorHAnsi" w:hAnsiTheme="minorHAnsi"/>
                      <w:b/>
                      <w:sz w:val="18"/>
                      <w:szCs w:val="18"/>
                      <w:lang w:val="fr-FR"/>
                    </w:rPr>
                    <w:t>s</w:t>
                  </w:r>
                  <w:r w:rsidR="00020938">
                    <w:rPr>
                      <w:rFonts w:asciiTheme="minorHAnsi" w:hAnsiTheme="minorHAnsi"/>
                      <w:b/>
                      <w:sz w:val="18"/>
                      <w:szCs w:val="18"/>
                      <w:lang w:val="fr-FR"/>
                    </w:rPr>
                    <w:t xml:space="preserve"> à</w:t>
                  </w:r>
                  <w:r w:rsidRPr="0089090E">
                    <w:rPr>
                      <w:rFonts w:asciiTheme="minorHAnsi" w:hAnsiTheme="minorHAnsi"/>
                      <w:b/>
                      <w:sz w:val="18"/>
                      <w:szCs w:val="18"/>
                      <w:lang w:val="fr-FR"/>
                    </w:rPr>
                    <w:t xml:space="preserve"> </w:t>
                  </w:r>
                  <w:r w:rsidR="00020938">
                    <w:rPr>
                      <w:rFonts w:asciiTheme="minorHAnsi" w:hAnsiTheme="minorHAnsi"/>
                      <w:b/>
                      <w:sz w:val="18"/>
                      <w:szCs w:val="18"/>
                      <w:lang w:val="fr-FR"/>
                    </w:rPr>
                    <w:t xml:space="preserve">de </w:t>
                  </w:r>
                  <w:r w:rsidRPr="0089090E">
                    <w:rPr>
                      <w:rFonts w:asciiTheme="minorHAnsi" w:hAnsiTheme="minorHAnsi"/>
                      <w:b/>
                      <w:sz w:val="18"/>
                      <w:szCs w:val="18"/>
                      <w:lang w:val="fr-FR"/>
                    </w:rPr>
                    <w:t>telles situations</w:t>
                  </w:r>
                  <w:r w:rsidRPr="00C8272C">
                    <w:rPr>
                      <w:rFonts w:asciiTheme="minorHAnsi" w:hAnsiTheme="minorHAnsi"/>
                      <w:bCs/>
                      <w:sz w:val="18"/>
                      <w:szCs w:val="18"/>
                      <w:lang w:val="fr-FR"/>
                    </w:rPr>
                    <w:t>.</w:t>
                  </w:r>
                </w:p>
              </w:txbxContent>
            </v:textbox>
            <w10:wrap type="square"/>
          </v:shape>
        </w:pict>
      </w:r>
    </w:p>
    <w:p w14:paraId="535FA7D5" w14:textId="03F4A6B9" w:rsidR="00F658AA" w:rsidRPr="006A0464" w:rsidRDefault="008E6C56" w:rsidP="006A0464">
      <w:pPr>
        <w:spacing w:after="60"/>
        <w:jc w:val="both"/>
        <w:rPr>
          <w:rFonts w:asciiTheme="minorHAnsi" w:hAnsiTheme="minorHAnsi"/>
          <w:sz w:val="22"/>
          <w:lang w:val="fr-FR"/>
        </w:rPr>
      </w:pPr>
      <w:r w:rsidRPr="008E6C56">
        <w:rPr>
          <w:rFonts w:asciiTheme="minorHAnsi" w:hAnsiTheme="minorHAnsi"/>
          <w:sz w:val="22"/>
          <w:lang w:val="fr-FR"/>
        </w:rPr>
        <w:t xml:space="preserve">L'inventaire répond à l'intérêt </w:t>
      </w:r>
      <w:r w:rsidR="006A0464">
        <w:rPr>
          <w:rFonts w:asciiTheme="minorHAnsi" w:hAnsiTheme="minorHAnsi"/>
          <w:sz w:val="22"/>
          <w:lang w:val="fr-FR"/>
        </w:rPr>
        <w:t>spécifique</w:t>
      </w:r>
      <w:r w:rsidRPr="008E6C56">
        <w:rPr>
          <w:rFonts w:asciiTheme="minorHAnsi" w:hAnsiTheme="minorHAnsi"/>
          <w:sz w:val="22"/>
          <w:lang w:val="fr-FR"/>
        </w:rPr>
        <w:t xml:space="preserve"> de parvenir à une meilleure compréhension </w:t>
      </w:r>
      <w:r>
        <w:rPr>
          <w:rFonts w:asciiTheme="minorHAnsi" w:hAnsiTheme="minorHAnsi"/>
          <w:sz w:val="22"/>
          <w:lang w:val="fr-FR"/>
        </w:rPr>
        <w:t>de</w:t>
      </w:r>
      <w:r w:rsidR="00755055">
        <w:rPr>
          <w:rFonts w:asciiTheme="minorHAnsi" w:hAnsiTheme="minorHAnsi"/>
          <w:sz w:val="22"/>
          <w:lang w:val="fr-FR"/>
        </w:rPr>
        <w:t>s</w:t>
      </w:r>
      <w:r w:rsidRPr="008E6C56">
        <w:rPr>
          <w:rFonts w:asciiTheme="minorHAnsi" w:hAnsiTheme="minorHAnsi"/>
          <w:sz w:val="22"/>
          <w:lang w:val="fr-FR"/>
        </w:rPr>
        <w:t xml:space="preserve"> solutions locales pour fournir </w:t>
      </w:r>
      <w:r w:rsidR="00755055">
        <w:rPr>
          <w:rFonts w:asciiTheme="minorHAnsi" w:hAnsiTheme="minorHAnsi"/>
          <w:sz w:val="22"/>
          <w:lang w:val="fr-FR"/>
        </w:rPr>
        <w:t xml:space="preserve">une </w:t>
      </w:r>
      <w:r>
        <w:rPr>
          <w:rFonts w:asciiTheme="minorHAnsi" w:hAnsiTheme="minorHAnsi"/>
          <w:sz w:val="22"/>
          <w:lang w:val="fr-FR"/>
        </w:rPr>
        <w:t>PS</w:t>
      </w:r>
      <w:r w:rsidRPr="008E6C56">
        <w:rPr>
          <w:rFonts w:asciiTheme="minorHAnsi" w:hAnsiTheme="minorHAnsi"/>
          <w:sz w:val="22"/>
          <w:lang w:val="fr-FR"/>
        </w:rPr>
        <w:t xml:space="preserve"> </w:t>
      </w:r>
      <w:r>
        <w:rPr>
          <w:rFonts w:asciiTheme="minorHAnsi" w:hAnsiTheme="minorHAnsi"/>
          <w:sz w:val="22"/>
          <w:lang w:val="fr-FR"/>
        </w:rPr>
        <w:t>aux</w:t>
      </w:r>
      <w:r w:rsidRPr="008E6C56">
        <w:rPr>
          <w:rFonts w:asciiTheme="minorHAnsi" w:hAnsiTheme="minorHAnsi"/>
          <w:sz w:val="22"/>
          <w:lang w:val="fr-FR"/>
        </w:rPr>
        <w:t xml:space="preserve"> pauvres ruraux</w:t>
      </w:r>
      <w:r w:rsidR="003018EB">
        <w:rPr>
          <w:rFonts w:asciiTheme="minorHAnsi" w:hAnsiTheme="minorHAnsi"/>
          <w:sz w:val="22"/>
          <w:lang w:val="fr-FR"/>
        </w:rPr>
        <w:t>. Il permettra d'accroître les</w:t>
      </w:r>
      <w:r w:rsidRPr="008E6C56">
        <w:rPr>
          <w:rFonts w:asciiTheme="minorHAnsi" w:hAnsiTheme="minorHAnsi"/>
          <w:sz w:val="22"/>
          <w:lang w:val="fr-FR"/>
        </w:rPr>
        <w:t xml:space="preserve"> connaissance</w:t>
      </w:r>
      <w:r w:rsidR="003018EB">
        <w:rPr>
          <w:rFonts w:asciiTheme="minorHAnsi" w:hAnsiTheme="minorHAnsi"/>
          <w:sz w:val="22"/>
          <w:lang w:val="fr-FR"/>
        </w:rPr>
        <w:t>s</w:t>
      </w:r>
      <w:r w:rsidRPr="008E6C56">
        <w:rPr>
          <w:rFonts w:asciiTheme="minorHAnsi" w:hAnsiTheme="minorHAnsi"/>
          <w:sz w:val="22"/>
          <w:lang w:val="fr-FR"/>
        </w:rPr>
        <w:t xml:space="preserve"> </w:t>
      </w:r>
      <w:r w:rsidR="003018EB">
        <w:rPr>
          <w:rFonts w:asciiTheme="minorHAnsi" w:hAnsiTheme="minorHAnsi"/>
          <w:sz w:val="22"/>
          <w:lang w:val="fr-FR"/>
        </w:rPr>
        <w:t>de</w:t>
      </w:r>
      <w:r w:rsidR="00755055">
        <w:rPr>
          <w:rFonts w:asciiTheme="minorHAnsi" w:hAnsiTheme="minorHAnsi"/>
          <w:sz w:val="22"/>
          <w:lang w:val="fr-FR"/>
        </w:rPr>
        <w:t xml:space="preserve"> la</w:t>
      </w:r>
      <w:r w:rsidRPr="008E6C56">
        <w:rPr>
          <w:rFonts w:asciiTheme="minorHAnsi" w:hAnsiTheme="minorHAnsi"/>
          <w:sz w:val="22"/>
          <w:lang w:val="fr-FR"/>
        </w:rPr>
        <w:t xml:space="preserve"> FAO </w:t>
      </w:r>
      <w:r w:rsidR="003018EB">
        <w:rPr>
          <w:rFonts w:asciiTheme="minorHAnsi" w:hAnsiTheme="minorHAnsi"/>
          <w:sz w:val="22"/>
          <w:lang w:val="fr-FR"/>
        </w:rPr>
        <w:t>et</w:t>
      </w:r>
      <w:r w:rsidRPr="008E6C56">
        <w:rPr>
          <w:rFonts w:asciiTheme="minorHAnsi" w:hAnsiTheme="minorHAnsi"/>
          <w:sz w:val="22"/>
          <w:lang w:val="fr-FR"/>
        </w:rPr>
        <w:t xml:space="preserve"> de mieux informer les gouvernements et d'autres praticiens du développement sur les politiques et interventions </w:t>
      </w:r>
      <w:r w:rsidR="003018EB">
        <w:rPr>
          <w:rFonts w:asciiTheme="minorHAnsi" w:hAnsiTheme="minorHAnsi"/>
          <w:sz w:val="22"/>
          <w:lang w:val="fr-FR"/>
        </w:rPr>
        <w:t xml:space="preserve">promouvant </w:t>
      </w:r>
      <w:r w:rsidRPr="008E6C56">
        <w:rPr>
          <w:rFonts w:asciiTheme="minorHAnsi" w:hAnsiTheme="minorHAnsi"/>
          <w:sz w:val="22"/>
          <w:lang w:val="fr-FR"/>
        </w:rPr>
        <w:t>une variété d'arrangements locaux</w:t>
      </w:r>
      <w:r w:rsidR="003018EB">
        <w:rPr>
          <w:rFonts w:asciiTheme="minorHAnsi" w:hAnsiTheme="minorHAnsi"/>
          <w:sz w:val="22"/>
          <w:lang w:val="fr-FR"/>
        </w:rPr>
        <w:t xml:space="preserve">. Enfin, il constituera un </w:t>
      </w:r>
      <w:r w:rsidRPr="008E6C56">
        <w:rPr>
          <w:rFonts w:asciiTheme="minorHAnsi" w:hAnsiTheme="minorHAnsi"/>
          <w:sz w:val="22"/>
          <w:lang w:val="fr-FR"/>
        </w:rPr>
        <w:t xml:space="preserve">produit </w:t>
      </w:r>
      <w:r w:rsidR="003018EB">
        <w:rPr>
          <w:rFonts w:asciiTheme="minorHAnsi" w:hAnsiTheme="minorHAnsi"/>
          <w:sz w:val="22"/>
          <w:lang w:val="fr-FR"/>
        </w:rPr>
        <w:t xml:space="preserve">à côté </w:t>
      </w:r>
      <w:r w:rsidRPr="008E6C56">
        <w:rPr>
          <w:rFonts w:asciiTheme="minorHAnsi" w:hAnsiTheme="minorHAnsi"/>
          <w:sz w:val="22"/>
          <w:lang w:val="fr-FR"/>
        </w:rPr>
        <w:t xml:space="preserve">de </w:t>
      </w:r>
      <w:r w:rsidR="003018EB">
        <w:rPr>
          <w:rFonts w:asciiTheme="minorHAnsi" w:hAnsiTheme="minorHAnsi"/>
          <w:sz w:val="22"/>
          <w:lang w:val="fr-FR"/>
        </w:rPr>
        <w:t>la publication de FAO, l’</w:t>
      </w:r>
      <w:r w:rsidRPr="008E6C56">
        <w:rPr>
          <w:rFonts w:asciiTheme="minorHAnsi" w:hAnsiTheme="minorHAnsi"/>
          <w:sz w:val="22"/>
          <w:lang w:val="fr-FR"/>
        </w:rPr>
        <w:t xml:space="preserve">État de </w:t>
      </w:r>
      <w:r w:rsidR="003018EB">
        <w:rPr>
          <w:rFonts w:asciiTheme="minorHAnsi" w:hAnsiTheme="minorHAnsi"/>
          <w:sz w:val="22"/>
          <w:lang w:val="fr-FR"/>
        </w:rPr>
        <w:t>l'A</w:t>
      </w:r>
      <w:r w:rsidRPr="008E6C56">
        <w:rPr>
          <w:rFonts w:asciiTheme="minorHAnsi" w:hAnsiTheme="minorHAnsi"/>
          <w:sz w:val="22"/>
          <w:lang w:val="fr-FR"/>
        </w:rPr>
        <w:t>limentati</w:t>
      </w:r>
      <w:r w:rsidR="003018EB">
        <w:rPr>
          <w:rFonts w:asciiTheme="minorHAnsi" w:hAnsiTheme="minorHAnsi"/>
          <w:sz w:val="22"/>
          <w:lang w:val="fr-FR"/>
        </w:rPr>
        <w:t>on et l'A</w:t>
      </w:r>
      <w:r w:rsidRPr="008E6C56">
        <w:rPr>
          <w:rFonts w:asciiTheme="minorHAnsi" w:hAnsiTheme="minorHAnsi"/>
          <w:sz w:val="22"/>
          <w:lang w:val="fr-FR"/>
        </w:rPr>
        <w:t>griculture (SOFA)</w:t>
      </w:r>
      <w:r w:rsidR="003018EB">
        <w:rPr>
          <w:rFonts w:asciiTheme="minorHAnsi" w:hAnsiTheme="minorHAnsi"/>
          <w:sz w:val="22"/>
          <w:lang w:val="fr-FR"/>
        </w:rPr>
        <w:t>,</w:t>
      </w:r>
      <w:r w:rsidRPr="008E6C56">
        <w:rPr>
          <w:rFonts w:asciiTheme="minorHAnsi" w:hAnsiTheme="minorHAnsi"/>
          <w:sz w:val="22"/>
          <w:lang w:val="fr-FR"/>
        </w:rPr>
        <w:t xml:space="preserve"> dédiée à la protection sociale</w:t>
      </w:r>
      <w:r w:rsidR="003018EB">
        <w:rPr>
          <w:rFonts w:asciiTheme="minorHAnsi" w:hAnsiTheme="minorHAnsi"/>
          <w:sz w:val="22"/>
          <w:lang w:val="fr-FR"/>
        </w:rPr>
        <w:t xml:space="preserve"> en </w:t>
      </w:r>
      <w:r w:rsidR="003018EB" w:rsidRPr="008E6C56">
        <w:rPr>
          <w:rFonts w:asciiTheme="minorHAnsi" w:hAnsiTheme="minorHAnsi"/>
          <w:sz w:val="22"/>
          <w:lang w:val="fr-FR"/>
        </w:rPr>
        <w:t>2015</w:t>
      </w:r>
      <w:r w:rsidR="009D77A8" w:rsidRPr="005F2BD1">
        <w:rPr>
          <w:rStyle w:val="FootnoteReference"/>
          <w:rFonts w:asciiTheme="minorHAnsi" w:hAnsiTheme="minorHAnsi"/>
          <w:sz w:val="22"/>
        </w:rPr>
        <w:footnoteReference w:id="6"/>
      </w:r>
      <w:r w:rsidR="005E2125" w:rsidRPr="006A0464">
        <w:rPr>
          <w:rFonts w:asciiTheme="minorHAnsi" w:hAnsiTheme="minorHAnsi"/>
          <w:sz w:val="22"/>
          <w:lang w:val="fr-FR"/>
        </w:rPr>
        <w:t>.</w:t>
      </w:r>
      <w:r w:rsidR="00427B19" w:rsidRPr="006A0464">
        <w:rPr>
          <w:rFonts w:asciiTheme="minorHAnsi" w:hAnsiTheme="minorHAnsi"/>
          <w:sz w:val="22"/>
          <w:lang w:val="fr-FR"/>
        </w:rPr>
        <w:t xml:space="preserve"> </w:t>
      </w:r>
    </w:p>
    <w:p w14:paraId="7834A73F" w14:textId="0D2BCB47" w:rsidR="006A0464" w:rsidRPr="006A0464" w:rsidRDefault="006A0464" w:rsidP="006A0464">
      <w:pPr>
        <w:spacing w:after="60"/>
        <w:jc w:val="both"/>
        <w:rPr>
          <w:rFonts w:asciiTheme="minorHAnsi" w:hAnsiTheme="minorHAnsi"/>
          <w:b/>
          <w:bCs/>
          <w:i/>
          <w:iCs/>
          <w:color w:val="244061" w:themeColor="accent1" w:themeShade="80"/>
          <w:sz w:val="22"/>
          <w:lang w:val="fr-FR"/>
        </w:rPr>
      </w:pPr>
      <w:r w:rsidRPr="006A0464">
        <w:rPr>
          <w:rFonts w:asciiTheme="minorHAnsi" w:hAnsiTheme="minorHAnsi"/>
          <w:b/>
          <w:bCs/>
          <w:i/>
          <w:iCs/>
          <w:color w:val="244061" w:themeColor="accent1" w:themeShade="80"/>
          <w:sz w:val="22"/>
          <w:lang w:val="fr-FR"/>
        </w:rPr>
        <w:t>Objectifs et audience</w:t>
      </w:r>
    </w:p>
    <w:p w14:paraId="17010A56" w14:textId="7BC682F5" w:rsidR="006A0464" w:rsidRPr="006A0464" w:rsidRDefault="006A0464" w:rsidP="00A5309C">
      <w:pPr>
        <w:spacing w:after="60"/>
        <w:jc w:val="both"/>
        <w:rPr>
          <w:rFonts w:asciiTheme="minorHAnsi" w:hAnsiTheme="minorHAnsi"/>
          <w:sz w:val="22"/>
          <w:lang w:val="fr-FR"/>
        </w:rPr>
      </w:pPr>
      <w:r w:rsidRPr="006A0464">
        <w:rPr>
          <w:rFonts w:asciiTheme="minorHAnsi" w:hAnsiTheme="minorHAnsi"/>
          <w:sz w:val="22"/>
          <w:lang w:val="fr-FR"/>
        </w:rPr>
        <w:t xml:space="preserve">OBJECTIFS - L'objectif principal de l'inventaire est de </w:t>
      </w:r>
      <w:r w:rsidRPr="006A0464">
        <w:rPr>
          <w:rFonts w:asciiTheme="minorHAnsi" w:hAnsiTheme="minorHAnsi"/>
          <w:b/>
          <w:bCs/>
          <w:sz w:val="22"/>
          <w:lang w:val="fr-FR"/>
        </w:rPr>
        <w:t xml:space="preserve">construire une base de connaissances sur le rôle actuel et potentiel des OR </w:t>
      </w:r>
      <w:r>
        <w:rPr>
          <w:rFonts w:asciiTheme="minorHAnsi" w:hAnsiTheme="minorHAnsi"/>
          <w:b/>
          <w:bCs/>
          <w:sz w:val="22"/>
          <w:lang w:val="fr-FR"/>
        </w:rPr>
        <w:t>dans la PS</w:t>
      </w:r>
      <w:r w:rsidRPr="006A0464">
        <w:rPr>
          <w:rFonts w:asciiTheme="minorHAnsi" w:hAnsiTheme="minorHAnsi"/>
          <w:sz w:val="22"/>
          <w:lang w:val="fr-FR"/>
        </w:rPr>
        <w:t xml:space="preserve">. Cet objectif sera atteint en fournissant une large collection de bonnes pratiques qui capture: (i) des mécanismes participatifs dans les systèmes nationaux de </w:t>
      </w:r>
      <w:r>
        <w:rPr>
          <w:rFonts w:asciiTheme="minorHAnsi" w:hAnsiTheme="minorHAnsi"/>
          <w:sz w:val="22"/>
          <w:lang w:val="fr-FR"/>
        </w:rPr>
        <w:t>PS</w:t>
      </w:r>
      <w:r w:rsidRPr="006A0464">
        <w:rPr>
          <w:rFonts w:asciiTheme="minorHAnsi" w:hAnsiTheme="minorHAnsi"/>
          <w:sz w:val="22"/>
          <w:lang w:val="fr-FR"/>
        </w:rPr>
        <w:t xml:space="preserve"> où les </w:t>
      </w:r>
      <w:proofErr w:type="spellStart"/>
      <w:r>
        <w:rPr>
          <w:rFonts w:asciiTheme="minorHAnsi" w:hAnsiTheme="minorHAnsi"/>
          <w:sz w:val="22"/>
          <w:lang w:val="fr-FR"/>
        </w:rPr>
        <w:t>ORs</w:t>
      </w:r>
      <w:proofErr w:type="spellEnd"/>
      <w:r w:rsidRPr="006A0464">
        <w:rPr>
          <w:rFonts w:asciiTheme="minorHAnsi" w:hAnsiTheme="minorHAnsi"/>
          <w:sz w:val="22"/>
          <w:lang w:val="fr-FR"/>
        </w:rPr>
        <w:t xml:space="preserve"> ont un rôle consultatif</w:t>
      </w:r>
      <w:r>
        <w:rPr>
          <w:rFonts w:asciiTheme="minorHAnsi" w:hAnsiTheme="minorHAnsi"/>
          <w:sz w:val="22"/>
          <w:lang w:val="fr-FR"/>
        </w:rPr>
        <w:t>,</w:t>
      </w:r>
      <w:r w:rsidRPr="006A0464">
        <w:rPr>
          <w:rFonts w:asciiTheme="minorHAnsi" w:hAnsiTheme="minorHAnsi"/>
          <w:sz w:val="22"/>
          <w:lang w:val="fr-FR"/>
        </w:rPr>
        <w:t xml:space="preserve"> collaboratif ou décisionnel; et (ii) </w:t>
      </w:r>
      <w:r>
        <w:rPr>
          <w:rFonts w:asciiTheme="minorHAnsi" w:hAnsiTheme="minorHAnsi"/>
          <w:sz w:val="22"/>
          <w:lang w:val="fr-FR"/>
        </w:rPr>
        <w:t>des</w:t>
      </w:r>
      <w:r w:rsidRPr="006A0464">
        <w:rPr>
          <w:rFonts w:asciiTheme="minorHAnsi" w:hAnsiTheme="minorHAnsi"/>
          <w:sz w:val="22"/>
          <w:lang w:val="fr-FR"/>
        </w:rPr>
        <w:t xml:space="preserve"> pratiques collectives de gestion des risques fournies par les </w:t>
      </w:r>
      <w:proofErr w:type="spellStart"/>
      <w:r>
        <w:rPr>
          <w:rFonts w:asciiTheme="minorHAnsi" w:hAnsiTheme="minorHAnsi"/>
          <w:sz w:val="22"/>
          <w:lang w:val="fr-FR"/>
        </w:rPr>
        <w:t>ORs</w:t>
      </w:r>
      <w:proofErr w:type="spellEnd"/>
      <w:r w:rsidRPr="006A0464">
        <w:rPr>
          <w:rFonts w:asciiTheme="minorHAnsi" w:hAnsiTheme="minorHAnsi"/>
          <w:sz w:val="22"/>
          <w:lang w:val="fr-FR"/>
        </w:rPr>
        <w:t xml:space="preserve">. L'inventaire sert également à </w:t>
      </w:r>
      <w:r w:rsidRPr="00AA36BB">
        <w:rPr>
          <w:rFonts w:asciiTheme="minorHAnsi" w:hAnsiTheme="minorHAnsi"/>
          <w:b/>
          <w:bCs/>
          <w:sz w:val="22"/>
          <w:lang w:val="fr-FR"/>
        </w:rPr>
        <w:t xml:space="preserve">inspirer et mobiliser des ressources pour </w:t>
      </w:r>
      <w:r w:rsidR="00AA36BB" w:rsidRPr="00AA36BB">
        <w:rPr>
          <w:rFonts w:asciiTheme="minorHAnsi" w:hAnsiTheme="minorHAnsi"/>
          <w:b/>
          <w:bCs/>
          <w:sz w:val="22"/>
          <w:lang w:val="fr-FR"/>
        </w:rPr>
        <w:t>conduire</w:t>
      </w:r>
      <w:r w:rsidRPr="00AA36BB">
        <w:rPr>
          <w:rFonts w:asciiTheme="minorHAnsi" w:hAnsiTheme="minorHAnsi"/>
          <w:b/>
          <w:bCs/>
          <w:sz w:val="22"/>
          <w:lang w:val="fr-FR"/>
        </w:rPr>
        <w:t xml:space="preserve"> des analyses approfondies </w:t>
      </w:r>
      <w:r w:rsidR="00AA36BB" w:rsidRPr="00AA36BB">
        <w:rPr>
          <w:rFonts w:asciiTheme="minorHAnsi" w:hAnsiTheme="minorHAnsi"/>
          <w:b/>
          <w:bCs/>
          <w:sz w:val="22"/>
          <w:lang w:val="fr-FR"/>
        </w:rPr>
        <w:t>au niveau de pays</w:t>
      </w:r>
      <w:r w:rsidRPr="006A0464">
        <w:rPr>
          <w:rFonts w:asciiTheme="minorHAnsi" w:hAnsiTheme="minorHAnsi"/>
          <w:sz w:val="22"/>
          <w:lang w:val="fr-FR"/>
        </w:rPr>
        <w:t>. Ces analyses sont indi</w:t>
      </w:r>
      <w:r>
        <w:rPr>
          <w:rFonts w:asciiTheme="minorHAnsi" w:hAnsiTheme="minorHAnsi"/>
          <w:sz w:val="22"/>
          <w:lang w:val="fr-FR"/>
        </w:rPr>
        <w:t>sp</w:t>
      </w:r>
      <w:r w:rsidRPr="006A0464">
        <w:rPr>
          <w:rFonts w:asciiTheme="minorHAnsi" w:hAnsiTheme="minorHAnsi"/>
          <w:sz w:val="22"/>
          <w:lang w:val="fr-FR"/>
        </w:rPr>
        <w:t xml:space="preserve">ensables pour obtenir des </w:t>
      </w:r>
      <w:r w:rsidR="00AA36BB">
        <w:rPr>
          <w:rFonts w:asciiTheme="minorHAnsi" w:hAnsiTheme="minorHAnsi"/>
          <w:sz w:val="22"/>
          <w:lang w:val="fr-FR"/>
        </w:rPr>
        <w:t>données</w:t>
      </w:r>
      <w:r w:rsidRPr="006A0464">
        <w:rPr>
          <w:rFonts w:asciiTheme="minorHAnsi" w:hAnsiTheme="minorHAnsi"/>
          <w:sz w:val="22"/>
          <w:lang w:val="fr-FR"/>
        </w:rPr>
        <w:t xml:space="preserve"> et des principes directeurs sur </w:t>
      </w:r>
      <w:r w:rsidR="00AA36BB">
        <w:rPr>
          <w:rFonts w:asciiTheme="minorHAnsi" w:hAnsiTheme="minorHAnsi"/>
          <w:sz w:val="22"/>
          <w:lang w:val="fr-FR"/>
        </w:rPr>
        <w:t xml:space="preserve">les arrangements </w:t>
      </w:r>
      <w:r w:rsidRPr="006A0464">
        <w:rPr>
          <w:rFonts w:asciiTheme="minorHAnsi" w:hAnsiTheme="minorHAnsi"/>
          <w:sz w:val="22"/>
          <w:lang w:val="fr-FR"/>
        </w:rPr>
        <w:t xml:space="preserve">institutionnels locaux sur lequel </w:t>
      </w:r>
      <w:r w:rsidR="00AA36BB">
        <w:rPr>
          <w:rFonts w:asciiTheme="minorHAnsi" w:hAnsiTheme="minorHAnsi"/>
          <w:sz w:val="22"/>
          <w:lang w:val="fr-FR"/>
        </w:rPr>
        <w:t>des</w:t>
      </w:r>
      <w:r w:rsidRPr="006A0464">
        <w:rPr>
          <w:rFonts w:asciiTheme="minorHAnsi" w:hAnsiTheme="minorHAnsi"/>
          <w:sz w:val="22"/>
          <w:lang w:val="fr-FR"/>
        </w:rPr>
        <w:t xml:space="preserve"> systèmes </w:t>
      </w:r>
      <w:r w:rsidR="00AA36BB" w:rsidRPr="006A0464">
        <w:rPr>
          <w:rFonts w:asciiTheme="minorHAnsi" w:hAnsiTheme="minorHAnsi"/>
          <w:sz w:val="22"/>
          <w:lang w:val="fr-FR"/>
        </w:rPr>
        <w:t xml:space="preserve">efficaces </w:t>
      </w:r>
      <w:r w:rsidRPr="006A0464">
        <w:rPr>
          <w:rFonts w:asciiTheme="minorHAnsi" w:hAnsiTheme="minorHAnsi"/>
          <w:sz w:val="22"/>
          <w:lang w:val="fr-FR"/>
        </w:rPr>
        <w:t xml:space="preserve">de </w:t>
      </w:r>
      <w:r>
        <w:rPr>
          <w:rFonts w:asciiTheme="minorHAnsi" w:hAnsiTheme="minorHAnsi"/>
          <w:sz w:val="22"/>
          <w:lang w:val="fr-FR"/>
        </w:rPr>
        <w:t>PS</w:t>
      </w:r>
      <w:r w:rsidRPr="006A0464">
        <w:rPr>
          <w:rFonts w:asciiTheme="minorHAnsi" w:hAnsiTheme="minorHAnsi"/>
          <w:sz w:val="22"/>
          <w:lang w:val="fr-FR"/>
        </w:rPr>
        <w:t xml:space="preserve"> peuvent être construits. L'inventaire alimenter</w:t>
      </w:r>
      <w:r w:rsidR="00A5309C">
        <w:rPr>
          <w:rFonts w:asciiTheme="minorHAnsi" w:hAnsiTheme="minorHAnsi"/>
          <w:sz w:val="22"/>
          <w:lang w:val="fr-FR"/>
        </w:rPr>
        <w:t>a</w:t>
      </w:r>
      <w:r w:rsidRPr="006A0464">
        <w:rPr>
          <w:rFonts w:asciiTheme="minorHAnsi" w:hAnsiTheme="minorHAnsi"/>
          <w:sz w:val="22"/>
          <w:lang w:val="fr-FR"/>
        </w:rPr>
        <w:t xml:space="preserve"> le débat sur la promotion d'une </w:t>
      </w:r>
      <w:r w:rsidRPr="00A5309C">
        <w:rPr>
          <w:rFonts w:asciiTheme="minorHAnsi" w:hAnsiTheme="minorHAnsi"/>
          <w:b/>
          <w:bCs/>
          <w:sz w:val="22"/>
          <w:lang w:val="fr-FR"/>
        </w:rPr>
        <w:t>plus grande implication des parties prenantes concernées</w:t>
      </w:r>
      <w:r w:rsidR="00A5309C" w:rsidRPr="00A5309C">
        <w:rPr>
          <w:rFonts w:asciiTheme="minorHAnsi" w:hAnsiTheme="minorHAnsi"/>
          <w:b/>
          <w:bCs/>
          <w:sz w:val="22"/>
          <w:lang w:val="fr-FR"/>
        </w:rPr>
        <w:t xml:space="preserve"> par la PS</w:t>
      </w:r>
      <w:r w:rsidRPr="006A0464">
        <w:rPr>
          <w:rFonts w:asciiTheme="minorHAnsi" w:hAnsiTheme="minorHAnsi"/>
          <w:sz w:val="22"/>
          <w:lang w:val="fr-FR"/>
        </w:rPr>
        <w:t xml:space="preserve">, comme suggéré par l'OIT. En particulier, cela devrait encourager les décideurs à mieux définir les rôles des </w:t>
      </w:r>
      <w:proofErr w:type="spellStart"/>
      <w:r w:rsidR="00A5309C">
        <w:rPr>
          <w:rFonts w:asciiTheme="minorHAnsi" w:hAnsiTheme="minorHAnsi"/>
          <w:sz w:val="22"/>
          <w:lang w:val="fr-FR"/>
        </w:rPr>
        <w:t>ORs</w:t>
      </w:r>
      <w:proofErr w:type="spellEnd"/>
      <w:r w:rsidRPr="006A0464">
        <w:rPr>
          <w:rFonts w:asciiTheme="minorHAnsi" w:hAnsiTheme="minorHAnsi"/>
          <w:sz w:val="22"/>
          <w:lang w:val="fr-FR"/>
        </w:rPr>
        <w:t xml:space="preserve"> dans les politiques, lois et programmes</w:t>
      </w:r>
      <w:r w:rsidR="00A5309C">
        <w:rPr>
          <w:rFonts w:asciiTheme="minorHAnsi" w:hAnsiTheme="minorHAnsi"/>
          <w:sz w:val="22"/>
          <w:lang w:val="fr-FR"/>
        </w:rPr>
        <w:t xml:space="preserve"> de PS</w:t>
      </w:r>
      <w:r w:rsidRPr="006A0464">
        <w:rPr>
          <w:rFonts w:asciiTheme="minorHAnsi" w:hAnsiTheme="minorHAnsi"/>
          <w:sz w:val="22"/>
          <w:lang w:val="fr-FR"/>
        </w:rPr>
        <w:t>.</w:t>
      </w:r>
    </w:p>
    <w:p w14:paraId="5E78983D" w14:textId="211C1198" w:rsidR="00107B27" w:rsidRPr="00107B27" w:rsidRDefault="006A0464" w:rsidP="00107B27">
      <w:pPr>
        <w:spacing w:after="60"/>
        <w:jc w:val="both"/>
        <w:rPr>
          <w:rFonts w:asciiTheme="minorHAnsi" w:hAnsiTheme="minorHAnsi"/>
          <w:sz w:val="22"/>
          <w:lang w:val="fr-FR"/>
        </w:rPr>
      </w:pPr>
      <w:r w:rsidRPr="006A0464">
        <w:rPr>
          <w:rFonts w:asciiTheme="minorHAnsi" w:hAnsiTheme="minorHAnsi"/>
          <w:sz w:val="22"/>
          <w:lang w:val="fr-FR"/>
        </w:rPr>
        <w:t xml:space="preserve">AUDIENCE - L'inventaire est </w:t>
      </w:r>
      <w:r w:rsidR="00755055">
        <w:rPr>
          <w:rFonts w:asciiTheme="minorHAnsi" w:hAnsiTheme="minorHAnsi"/>
          <w:sz w:val="22"/>
          <w:lang w:val="fr-FR"/>
        </w:rPr>
        <w:t xml:space="preserve">conçu </w:t>
      </w:r>
      <w:r w:rsidRPr="006A0464">
        <w:rPr>
          <w:rFonts w:asciiTheme="minorHAnsi" w:hAnsiTheme="minorHAnsi"/>
          <w:sz w:val="22"/>
          <w:lang w:val="fr-FR"/>
        </w:rPr>
        <w:t xml:space="preserve">pour </w:t>
      </w:r>
      <w:r w:rsidR="00755055">
        <w:rPr>
          <w:rFonts w:asciiTheme="minorHAnsi" w:hAnsiTheme="minorHAnsi"/>
          <w:sz w:val="22"/>
          <w:lang w:val="fr-FR"/>
        </w:rPr>
        <w:t xml:space="preserve">un </w:t>
      </w:r>
      <w:r w:rsidRPr="006A0464">
        <w:rPr>
          <w:rFonts w:asciiTheme="minorHAnsi" w:hAnsiTheme="minorHAnsi"/>
          <w:sz w:val="22"/>
          <w:lang w:val="fr-FR"/>
        </w:rPr>
        <w:t xml:space="preserve">accès et </w:t>
      </w:r>
      <w:r w:rsidR="00755055">
        <w:rPr>
          <w:rFonts w:asciiTheme="minorHAnsi" w:hAnsiTheme="minorHAnsi"/>
          <w:sz w:val="22"/>
          <w:lang w:val="fr-FR"/>
        </w:rPr>
        <w:t xml:space="preserve">une </w:t>
      </w:r>
      <w:r w:rsidRPr="006A0464">
        <w:rPr>
          <w:rFonts w:asciiTheme="minorHAnsi" w:hAnsiTheme="minorHAnsi"/>
          <w:sz w:val="22"/>
          <w:lang w:val="fr-FR"/>
        </w:rPr>
        <w:t xml:space="preserve">utilisation facile </w:t>
      </w:r>
      <w:r w:rsidR="00A5309C">
        <w:rPr>
          <w:rFonts w:asciiTheme="minorHAnsi" w:hAnsiTheme="minorHAnsi"/>
          <w:sz w:val="22"/>
          <w:lang w:val="fr-FR"/>
        </w:rPr>
        <w:t xml:space="preserve">des </w:t>
      </w:r>
      <w:r w:rsidRPr="00107B27">
        <w:rPr>
          <w:rFonts w:asciiTheme="minorHAnsi" w:hAnsiTheme="minorHAnsi"/>
          <w:b/>
          <w:bCs/>
          <w:sz w:val="22"/>
          <w:lang w:val="fr-FR"/>
        </w:rPr>
        <w:t>décideurs</w:t>
      </w:r>
      <w:r w:rsidRPr="006A0464">
        <w:rPr>
          <w:rFonts w:asciiTheme="minorHAnsi" w:hAnsiTheme="minorHAnsi"/>
          <w:sz w:val="22"/>
          <w:lang w:val="fr-FR"/>
        </w:rPr>
        <w:t xml:space="preserve">, </w:t>
      </w:r>
      <w:r w:rsidRPr="00107B27">
        <w:rPr>
          <w:rFonts w:asciiTheme="minorHAnsi" w:hAnsiTheme="minorHAnsi"/>
          <w:b/>
          <w:bCs/>
          <w:sz w:val="22"/>
          <w:lang w:val="fr-FR"/>
        </w:rPr>
        <w:t>praticiens</w:t>
      </w:r>
      <w:r w:rsidR="00DA5708">
        <w:rPr>
          <w:rFonts w:asciiTheme="minorHAnsi" w:hAnsiTheme="minorHAnsi"/>
          <w:b/>
          <w:bCs/>
          <w:sz w:val="22"/>
          <w:lang w:val="fr-FR"/>
        </w:rPr>
        <w:t xml:space="preserve"> d</w:t>
      </w:r>
      <w:r w:rsidR="00755055">
        <w:rPr>
          <w:rFonts w:asciiTheme="minorHAnsi" w:hAnsiTheme="minorHAnsi"/>
          <w:b/>
          <w:bCs/>
          <w:sz w:val="22"/>
          <w:lang w:val="fr-FR"/>
        </w:rPr>
        <w:t>u</w:t>
      </w:r>
      <w:r w:rsidR="00DA5708">
        <w:rPr>
          <w:rFonts w:asciiTheme="minorHAnsi" w:hAnsiTheme="minorHAnsi"/>
          <w:b/>
          <w:bCs/>
          <w:sz w:val="22"/>
          <w:lang w:val="fr-FR"/>
        </w:rPr>
        <w:t xml:space="preserve"> développement</w:t>
      </w:r>
      <w:r w:rsidRPr="006A0464">
        <w:rPr>
          <w:rFonts w:asciiTheme="minorHAnsi" w:hAnsiTheme="minorHAnsi"/>
          <w:sz w:val="22"/>
          <w:lang w:val="fr-FR"/>
        </w:rPr>
        <w:t xml:space="preserve">, </w:t>
      </w:r>
      <w:r w:rsidRPr="00107B27">
        <w:rPr>
          <w:rFonts w:asciiTheme="minorHAnsi" w:hAnsiTheme="minorHAnsi"/>
          <w:b/>
          <w:bCs/>
          <w:sz w:val="22"/>
          <w:lang w:val="fr-FR"/>
        </w:rPr>
        <w:t>évaluateurs</w:t>
      </w:r>
      <w:r w:rsidRPr="006A0464">
        <w:rPr>
          <w:rFonts w:asciiTheme="minorHAnsi" w:hAnsiTheme="minorHAnsi"/>
          <w:sz w:val="22"/>
          <w:lang w:val="fr-FR"/>
        </w:rPr>
        <w:t xml:space="preserve"> et </w:t>
      </w:r>
      <w:r w:rsidRPr="00107B27">
        <w:rPr>
          <w:rFonts w:asciiTheme="minorHAnsi" w:hAnsiTheme="minorHAnsi"/>
          <w:b/>
          <w:bCs/>
          <w:sz w:val="22"/>
          <w:lang w:val="fr-FR"/>
        </w:rPr>
        <w:t>bailleurs de fonds</w:t>
      </w:r>
      <w:r w:rsidRPr="006A0464">
        <w:rPr>
          <w:rFonts w:asciiTheme="minorHAnsi" w:hAnsiTheme="minorHAnsi"/>
          <w:sz w:val="22"/>
          <w:lang w:val="fr-FR"/>
        </w:rPr>
        <w:t xml:space="preserve">. Ils </w:t>
      </w:r>
      <w:r w:rsidR="00A5309C">
        <w:rPr>
          <w:rFonts w:asciiTheme="minorHAnsi" w:hAnsiTheme="minorHAnsi"/>
          <w:sz w:val="22"/>
          <w:lang w:val="fr-FR"/>
        </w:rPr>
        <w:t>pourront</w:t>
      </w:r>
      <w:r w:rsidRPr="006A0464">
        <w:rPr>
          <w:rFonts w:asciiTheme="minorHAnsi" w:hAnsiTheme="minorHAnsi"/>
          <w:sz w:val="22"/>
          <w:lang w:val="fr-FR"/>
        </w:rPr>
        <w:t xml:space="preserve"> consulter l'inventaire </w:t>
      </w:r>
      <w:r w:rsidR="00A5309C">
        <w:rPr>
          <w:rFonts w:asciiTheme="minorHAnsi" w:hAnsiTheme="minorHAnsi"/>
          <w:sz w:val="22"/>
          <w:lang w:val="fr-FR"/>
        </w:rPr>
        <w:t>pour</w:t>
      </w:r>
      <w:r w:rsidRPr="006A0464">
        <w:rPr>
          <w:rFonts w:asciiTheme="minorHAnsi" w:hAnsiTheme="minorHAnsi"/>
          <w:sz w:val="22"/>
          <w:lang w:val="fr-FR"/>
        </w:rPr>
        <w:t xml:space="preserve"> </w:t>
      </w:r>
      <w:r w:rsidR="00A5309C" w:rsidRPr="006A0464">
        <w:rPr>
          <w:rFonts w:asciiTheme="minorHAnsi" w:hAnsiTheme="minorHAnsi"/>
          <w:sz w:val="22"/>
          <w:lang w:val="fr-FR"/>
        </w:rPr>
        <w:t xml:space="preserve">reproduire </w:t>
      </w:r>
      <w:r w:rsidRPr="006A0464">
        <w:rPr>
          <w:rFonts w:asciiTheme="minorHAnsi" w:hAnsiTheme="minorHAnsi"/>
          <w:sz w:val="22"/>
          <w:lang w:val="fr-FR"/>
        </w:rPr>
        <w:t xml:space="preserve">et </w:t>
      </w:r>
      <w:r w:rsidR="00A5309C" w:rsidRPr="006A0464">
        <w:rPr>
          <w:rFonts w:asciiTheme="minorHAnsi" w:hAnsiTheme="minorHAnsi"/>
          <w:sz w:val="22"/>
          <w:lang w:val="fr-FR"/>
        </w:rPr>
        <w:t xml:space="preserve">renforcer </w:t>
      </w:r>
      <w:r w:rsidRPr="006A0464">
        <w:rPr>
          <w:rFonts w:asciiTheme="minorHAnsi" w:hAnsiTheme="minorHAnsi"/>
          <w:sz w:val="22"/>
          <w:lang w:val="fr-FR"/>
        </w:rPr>
        <w:t xml:space="preserve">les bonnes pratiques, </w:t>
      </w:r>
      <w:r w:rsidR="00755055">
        <w:rPr>
          <w:rFonts w:asciiTheme="minorHAnsi" w:hAnsiTheme="minorHAnsi"/>
          <w:sz w:val="22"/>
          <w:lang w:val="fr-FR"/>
        </w:rPr>
        <w:t xml:space="preserve">concevoir des </w:t>
      </w:r>
      <w:r w:rsidRPr="006A0464">
        <w:rPr>
          <w:rFonts w:asciiTheme="minorHAnsi" w:hAnsiTheme="minorHAnsi"/>
          <w:sz w:val="22"/>
          <w:lang w:val="fr-FR"/>
        </w:rPr>
        <w:t xml:space="preserve">arrangements institutionnels </w:t>
      </w:r>
      <w:r w:rsidR="00A5309C">
        <w:rPr>
          <w:rFonts w:asciiTheme="minorHAnsi" w:hAnsiTheme="minorHAnsi"/>
          <w:sz w:val="22"/>
          <w:lang w:val="fr-FR"/>
        </w:rPr>
        <w:t>inclusi</w:t>
      </w:r>
      <w:r w:rsidR="00755055">
        <w:rPr>
          <w:rFonts w:asciiTheme="minorHAnsi" w:hAnsiTheme="minorHAnsi"/>
          <w:sz w:val="22"/>
          <w:lang w:val="fr-FR"/>
        </w:rPr>
        <w:t>f</w:t>
      </w:r>
      <w:r w:rsidR="00A5309C">
        <w:rPr>
          <w:rFonts w:asciiTheme="minorHAnsi" w:hAnsiTheme="minorHAnsi"/>
          <w:sz w:val="22"/>
          <w:lang w:val="fr-FR"/>
        </w:rPr>
        <w:t>s</w:t>
      </w:r>
      <w:r w:rsidRPr="006A0464">
        <w:rPr>
          <w:rFonts w:asciiTheme="minorHAnsi" w:hAnsiTheme="minorHAnsi"/>
          <w:sz w:val="22"/>
          <w:lang w:val="fr-FR"/>
        </w:rPr>
        <w:t xml:space="preserve"> </w:t>
      </w:r>
      <w:r w:rsidR="00107B27">
        <w:rPr>
          <w:rFonts w:asciiTheme="minorHAnsi" w:hAnsiTheme="minorHAnsi"/>
          <w:sz w:val="22"/>
          <w:lang w:val="fr-FR"/>
        </w:rPr>
        <w:t>pour les</w:t>
      </w:r>
      <w:r w:rsidRPr="006A0464">
        <w:rPr>
          <w:rFonts w:asciiTheme="minorHAnsi" w:hAnsiTheme="minorHAnsi"/>
          <w:sz w:val="22"/>
          <w:lang w:val="fr-FR"/>
        </w:rPr>
        <w:t xml:space="preserve"> politiques et </w:t>
      </w:r>
      <w:r w:rsidR="00107B27">
        <w:rPr>
          <w:rFonts w:asciiTheme="minorHAnsi" w:hAnsiTheme="minorHAnsi"/>
          <w:sz w:val="22"/>
          <w:lang w:val="fr-FR"/>
        </w:rPr>
        <w:t>les</w:t>
      </w:r>
      <w:r w:rsidRPr="006A0464">
        <w:rPr>
          <w:rFonts w:asciiTheme="minorHAnsi" w:hAnsiTheme="minorHAnsi"/>
          <w:sz w:val="22"/>
          <w:lang w:val="fr-FR"/>
        </w:rPr>
        <w:t xml:space="preserve"> programmes </w:t>
      </w:r>
      <w:r w:rsidR="00107B27">
        <w:rPr>
          <w:rFonts w:asciiTheme="minorHAnsi" w:hAnsiTheme="minorHAnsi"/>
          <w:sz w:val="22"/>
          <w:lang w:val="fr-FR"/>
        </w:rPr>
        <w:t>de PS</w:t>
      </w:r>
      <w:r w:rsidR="00755055">
        <w:rPr>
          <w:rFonts w:asciiTheme="minorHAnsi" w:hAnsiTheme="minorHAnsi"/>
          <w:sz w:val="22"/>
          <w:lang w:val="fr-FR"/>
        </w:rPr>
        <w:t>,</w:t>
      </w:r>
      <w:r w:rsidRPr="006A0464">
        <w:rPr>
          <w:rFonts w:asciiTheme="minorHAnsi" w:hAnsiTheme="minorHAnsi"/>
          <w:sz w:val="22"/>
          <w:lang w:val="fr-FR"/>
        </w:rPr>
        <w:t xml:space="preserve"> qui </w:t>
      </w:r>
      <w:r w:rsidR="00107B27">
        <w:rPr>
          <w:rFonts w:asciiTheme="minorHAnsi" w:hAnsiTheme="minorHAnsi"/>
          <w:sz w:val="22"/>
          <w:lang w:val="fr-FR"/>
        </w:rPr>
        <w:t>tirent profit des</w:t>
      </w:r>
      <w:r w:rsidRPr="006A0464">
        <w:rPr>
          <w:rFonts w:asciiTheme="minorHAnsi" w:hAnsiTheme="minorHAnsi"/>
          <w:sz w:val="22"/>
          <w:lang w:val="fr-FR"/>
        </w:rPr>
        <w:t xml:space="preserve"> avantages comparatifs des </w:t>
      </w:r>
      <w:proofErr w:type="spellStart"/>
      <w:r w:rsidRPr="006A0464">
        <w:rPr>
          <w:rFonts w:asciiTheme="minorHAnsi" w:hAnsiTheme="minorHAnsi"/>
          <w:sz w:val="22"/>
          <w:lang w:val="fr-FR"/>
        </w:rPr>
        <w:t>OR</w:t>
      </w:r>
      <w:r w:rsidR="00107B27">
        <w:rPr>
          <w:rFonts w:asciiTheme="minorHAnsi" w:hAnsiTheme="minorHAnsi"/>
          <w:sz w:val="22"/>
          <w:lang w:val="fr-FR"/>
        </w:rPr>
        <w:t>s</w:t>
      </w:r>
      <w:proofErr w:type="spellEnd"/>
      <w:r w:rsidRPr="006A0464">
        <w:rPr>
          <w:rFonts w:asciiTheme="minorHAnsi" w:hAnsiTheme="minorHAnsi"/>
          <w:sz w:val="22"/>
          <w:lang w:val="fr-FR"/>
        </w:rPr>
        <w:t>, et d'évaluer la participatio</w:t>
      </w:r>
      <w:r w:rsidR="00107B27">
        <w:rPr>
          <w:rFonts w:asciiTheme="minorHAnsi" w:hAnsiTheme="minorHAnsi"/>
          <w:sz w:val="22"/>
          <w:lang w:val="fr-FR"/>
        </w:rPr>
        <w:t xml:space="preserve">n et la performance des </w:t>
      </w:r>
      <w:proofErr w:type="spellStart"/>
      <w:r w:rsidR="00107B27">
        <w:rPr>
          <w:rFonts w:asciiTheme="minorHAnsi" w:hAnsiTheme="minorHAnsi"/>
          <w:sz w:val="22"/>
          <w:lang w:val="fr-FR"/>
        </w:rPr>
        <w:t>ORs</w:t>
      </w:r>
      <w:proofErr w:type="spellEnd"/>
      <w:r w:rsidR="00107B27">
        <w:rPr>
          <w:rFonts w:asciiTheme="minorHAnsi" w:hAnsiTheme="minorHAnsi"/>
          <w:sz w:val="22"/>
          <w:lang w:val="fr-FR"/>
        </w:rPr>
        <w:t xml:space="preserve"> </w:t>
      </w:r>
      <w:r w:rsidRPr="006A0464">
        <w:rPr>
          <w:rFonts w:asciiTheme="minorHAnsi" w:hAnsiTheme="minorHAnsi"/>
          <w:sz w:val="22"/>
          <w:lang w:val="fr-FR"/>
        </w:rPr>
        <w:t xml:space="preserve">dans les programmes de </w:t>
      </w:r>
      <w:r>
        <w:rPr>
          <w:rFonts w:asciiTheme="minorHAnsi" w:hAnsiTheme="minorHAnsi"/>
          <w:sz w:val="22"/>
          <w:lang w:val="fr-FR"/>
        </w:rPr>
        <w:t>PS</w:t>
      </w:r>
      <w:r w:rsidRPr="006A0464">
        <w:rPr>
          <w:rFonts w:asciiTheme="minorHAnsi" w:hAnsiTheme="minorHAnsi"/>
          <w:sz w:val="22"/>
          <w:lang w:val="fr-FR"/>
        </w:rPr>
        <w:t xml:space="preserve"> qui </w:t>
      </w:r>
      <w:r w:rsidR="00755055">
        <w:rPr>
          <w:rFonts w:asciiTheme="minorHAnsi" w:hAnsiTheme="minorHAnsi"/>
          <w:sz w:val="22"/>
          <w:lang w:val="fr-FR"/>
        </w:rPr>
        <w:t xml:space="preserve">reposent </w:t>
      </w:r>
      <w:r w:rsidRPr="006A0464">
        <w:rPr>
          <w:rFonts w:asciiTheme="minorHAnsi" w:hAnsiTheme="minorHAnsi"/>
          <w:sz w:val="22"/>
          <w:lang w:val="fr-FR"/>
        </w:rPr>
        <w:t>sur leur inclusion.</w:t>
      </w:r>
    </w:p>
    <w:p w14:paraId="39A2D36D" w14:textId="4CDBAB84" w:rsidR="00107B27" w:rsidRPr="00107B27" w:rsidRDefault="00107B27" w:rsidP="00107B27">
      <w:pPr>
        <w:spacing w:after="60"/>
        <w:jc w:val="both"/>
        <w:rPr>
          <w:rFonts w:asciiTheme="minorHAnsi" w:hAnsiTheme="minorHAnsi"/>
          <w:b/>
          <w:bCs/>
          <w:i/>
          <w:iCs/>
          <w:color w:val="244061" w:themeColor="accent1" w:themeShade="80"/>
          <w:sz w:val="22"/>
          <w:lang w:val="fr-FR"/>
        </w:rPr>
      </w:pPr>
      <w:r w:rsidRPr="00107B27">
        <w:rPr>
          <w:rFonts w:asciiTheme="minorHAnsi" w:hAnsiTheme="minorHAnsi"/>
          <w:b/>
          <w:bCs/>
          <w:i/>
          <w:iCs/>
          <w:color w:val="244061" w:themeColor="accent1" w:themeShade="80"/>
          <w:sz w:val="22"/>
          <w:lang w:val="fr-FR"/>
        </w:rPr>
        <w:t xml:space="preserve">Pourquoi </w:t>
      </w:r>
      <w:r>
        <w:rPr>
          <w:rFonts w:asciiTheme="minorHAnsi" w:hAnsiTheme="minorHAnsi"/>
          <w:b/>
          <w:bCs/>
          <w:i/>
          <w:iCs/>
          <w:color w:val="244061" w:themeColor="accent1" w:themeShade="80"/>
          <w:sz w:val="22"/>
          <w:lang w:val="fr-FR"/>
        </w:rPr>
        <w:t>participer</w:t>
      </w:r>
      <w:r w:rsidR="00BA3B3D">
        <w:rPr>
          <w:rFonts w:asciiTheme="minorHAnsi" w:hAnsiTheme="minorHAnsi"/>
          <w:b/>
          <w:bCs/>
          <w:i/>
          <w:iCs/>
          <w:color w:val="244061" w:themeColor="accent1" w:themeShade="80"/>
          <w:sz w:val="22"/>
          <w:lang w:val="fr-FR"/>
        </w:rPr>
        <w:t> ?</w:t>
      </w:r>
      <w:r>
        <w:rPr>
          <w:rFonts w:asciiTheme="minorHAnsi" w:hAnsiTheme="minorHAnsi"/>
          <w:b/>
          <w:bCs/>
          <w:i/>
          <w:iCs/>
          <w:color w:val="244061" w:themeColor="accent1" w:themeShade="80"/>
          <w:sz w:val="22"/>
          <w:lang w:val="fr-FR"/>
        </w:rPr>
        <w:t xml:space="preserve"> – L</w:t>
      </w:r>
      <w:r w:rsidRPr="00107B27">
        <w:rPr>
          <w:rFonts w:asciiTheme="minorHAnsi" w:hAnsiTheme="minorHAnsi"/>
          <w:b/>
          <w:bCs/>
          <w:i/>
          <w:iCs/>
          <w:color w:val="244061" w:themeColor="accent1" w:themeShade="80"/>
          <w:sz w:val="22"/>
          <w:lang w:val="fr-FR"/>
        </w:rPr>
        <w:t>ivrables de l'inventaire</w:t>
      </w:r>
    </w:p>
    <w:p w14:paraId="3695C308" w14:textId="22235082" w:rsidR="00107B27" w:rsidRPr="00107B27" w:rsidRDefault="00107B27" w:rsidP="00107B27">
      <w:pPr>
        <w:spacing w:after="60"/>
        <w:jc w:val="both"/>
        <w:rPr>
          <w:rFonts w:asciiTheme="minorHAnsi" w:hAnsiTheme="minorHAnsi"/>
          <w:sz w:val="22"/>
          <w:lang w:val="fr-FR"/>
        </w:rPr>
      </w:pPr>
      <w:r w:rsidRPr="00107B27">
        <w:rPr>
          <w:rFonts w:asciiTheme="minorHAnsi" w:hAnsiTheme="minorHAnsi"/>
          <w:sz w:val="22"/>
          <w:lang w:val="fr-FR"/>
        </w:rPr>
        <w:t>L'inventair</w:t>
      </w:r>
      <w:r>
        <w:rPr>
          <w:rFonts w:asciiTheme="minorHAnsi" w:hAnsiTheme="minorHAnsi"/>
          <w:sz w:val="22"/>
          <w:lang w:val="fr-FR"/>
        </w:rPr>
        <w:t>e sera publié en deux formats. Les p</w:t>
      </w:r>
      <w:r w:rsidRPr="00107B27">
        <w:rPr>
          <w:rFonts w:asciiTheme="minorHAnsi" w:hAnsiTheme="minorHAnsi"/>
          <w:sz w:val="22"/>
          <w:lang w:val="fr-FR"/>
        </w:rPr>
        <w:t xml:space="preserve">ratiques seront documentées dans plusieurs </w:t>
      </w:r>
      <w:r w:rsidRPr="00107B27">
        <w:rPr>
          <w:rFonts w:asciiTheme="minorHAnsi" w:hAnsiTheme="minorHAnsi"/>
          <w:b/>
          <w:bCs/>
          <w:sz w:val="22"/>
          <w:lang w:val="fr-FR"/>
        </w:rPr>
        <w:t>fiches d'information</w:t>
      </w:r>
      <w:r w:rsidRPr="00107B27">
        <w:rPr>
          <w:rFonts w:asciiTheme="minorHAnsi" w:hAnsiTheme="minorHAnsi"/>
          <w:sz w:val="22"/>
          <w:lang w:val="fr-FR"/>
        </w:rPr>
        <w:t xml:space="preserve"> publiées en ligne (sous la forme de courtes études de cas) contenant des informations techniques </w:t>
      </w:r>
      <w:r>
        <w:rPr>
          <w:rFonts w:asciiTheme="minorHAnsi" w:hAnsiTheme="minorHAnsi"/>
          <w:sz w:val="22"/>
          <w:lang w:val="fr-FR"/>
        </w:rPr>
        <w:t xml:space="preserve">pour </w:t>
      </w:r>
      <w:r w:rsidRPr="00107B27">
        <w:rPr>
          <w:rFonts w:asciiTheme="minorHAnsi" w:hAnsiTheme="minorHAnsi"/>
          <w:sz w:val="22"/>
          <w:lang w:val="fr-FR"/>
        </w:rPr>
        <w:t>l'appr</w:t>
      </w:r>
      <w:r>
        <w:rPr>
          <w:rFonts w:asciiTheme="minorHAnsi" w:hAnsiTheme="minorHAnsi"/>
          <w:sz w:val="22"/>
          <w:lang w:val="fr-FR"/>
        </w:rPr>
        <w:t>entissage et la</w:t>
      </w:r>
      <w:r w:rsidR="00BA3B3D">
        <w:rPr>
          <w:rFonts w:asciiTheme="minorHAnsi" w:hAnsiTheme="minorHAnsi"/>
          <w:sz w:val="22"/>
          <w:lang w:val="fr-FR"/>
        </w:rPr>
        <w:t xml:space="preserve"> potentielle</w:t>
      </w:r>
      <w:r>
        <w:rPr>
          <w:rFonts w:asciiTheme="minorHAnsi" w:hAnsiTheme="minorHAnsi"/>
          <w:sz w:val="22"/>
          <w:lang w:val="fr-FR"/>
        </w:rPr>
        <w:t xml:space="preserve"> </w:t>
      </w:r>
      <w:r w:rsidRPr="00107B27">
        <w:rPr>
          <w:rFonts w:asciiTheme="minorHAnsi" w:hAnsiTheme="minorHAnsi"/>
          <w:sz w:val="22"/>
          <w:lang w:val="fr-FR"/>
        </w:rPr>
        <w:t xml:space="preserve">réplication </w:t>
      </w:r>
      <w:r w:rsidR="00BA3B3D">
        <w:rPr>
          <w:rFonts w:asciiTheme="minorHAnsi" w:hAnsiTheme="minorHAnsi"/>
          <w:sz w:val="22"/>
          <w:lang w:val="fr-FR"/>
        </w:rPr>
        <w:t xml:space="preserve">par la </w:t>
      </w:r>
      <w:r w:rsidRPr="00107B27">
        <w:rPr>
          <w:rFonts w:asciiTheme="minorHAnsi" w:hAnsiTheme="minorHAnsi"/>
          <w:sz w:val="22"/>
          <w:lang w:val="fr-FR"/>
        </w:rPr>
        <w:t xml:space="preserve">FAO et </w:t>
      </w:r>
      <w:r>
        <w:rPr>
          <w:rFonts w:asciiTheme="minorHAnsi" w:hAnsiTheme="minorHAnsi"/>
          <w:sz w:val="22"/>
          <w:lang w:val="fr-FR"/>
        </w:rPr>
        <w:t>d</w:t>
      </w:r>
      <w:r w:rsidR="00BA3B3D">
        <w:rPr>
          <w:rFonts w:asciiTheme="minorHAnsi" w:hAnsiTheme="minorHAnsi"/>
          <w:sz w:val="22"/>
          <w:lang w:val="fr-FR"/>
        </w:rPr>
        <w:t>‘</w:t>
      </w:r>
      <w:r>
        <w:rPr>
          <w:rFonts w:asciiTheme="minorHAnsi" w:hAnsiTheme="minorHAnsi"/>
          <w:sz w:val="22"/>
          <w:lang w:val="fr-FR"/>
        </w:rPr>
        <w:t>autres praticiens</w:t>
      </w:r>
      <w:r w:rsidRPr="00107B27">
        <w:rPr>
          <w:rFonts w:asciiTheme="minorHAnsi" w:hAnsiTheme="minorHAnsi"/>
          <w:sz w:val="22"/>
          <w:lang w:val="fr-FR"/>
        </w:rPr>
        <w:t xml:space="preserve">. Les bonnes pratiques seront également analysées et synthétisées </w:t>
      </w:r>
      <w:r w:rsidR="00DA5708">
        <w:rPr>
          <w:rFonts w:asciiTheme="minorHAnsi" w:hAnsiTheme="minorHAnsi"/>
          <w:sz w:val="22"/>
          <w:lang w:val="fr-FR"/>
        </w:rPr>
        <w:t xml:space="preserve">dans </w:t>
      </w:r>
      <w:r w:rsidRPr="00107B27">
        <w:rPr>
          <w:rFonts w:asciiTheme="minorHAnsi" w:hAnsiTheme="minorHAnsi"/>
          <w:sz w:val="22"/>
          <w:lang w:val="fr-FR"/>
        </w:rPr>
        <w:t xml:space="preserve">un </w:t>
      </w:r>
      <w:r w:rsidRPr="00DA5708">
        <w:rPr>
          <w:rFonts w:asciiTheme="minorHAnsi" w:hAnsiTheme="minorHAnsi"/>
          <w:b/>
          <w:bCs/>
          <w:sz w:val="22"/>
          <w:lang w:val="fr-FR"/>
        </w:rPr>
        <w:t>rapport</w:t>
      </w:r>
      <w:r w:rsidRPr="00107B27">
        <w:rPr>
          <w:rFonts w:asciiTheme="minorHAnsi" w:hAnsiTheme="minorHAnsi"/>
          <w:sz w:val="22"/>
          <w:lang w:val="fr-FR"/>
        </w:rPr>
        <w:t xml:space="preserve"> contenant une analyse générale des facteurs de succès, </w:t>
      </w:r>
      <w:r w:rsidR="00BA3B3D">
        <w:rPr>
          <w:rFonts w:asciiTheme="minorHAnsi" w:hAnsiTheme="minorHAnsi"/>
          <w:sz w:val="22"/>
          <w:lang w:val="fr-FR"/>
        </w:rPr>
        <w:t>d</w:t>
      </w:r>
      <w:r w:rsidRPr="00107B27">
        <w:rPr>
          <w:rFonts w:asciiTheme="minorHAnsi" w:hAnsiTheme="minorHAnsi"/>
          <w:sz w:val="22"/>
          <w:lang w:val="fr-FR"/>
        </w:rPr>
        <w:t xml:space="preserve">es risques, </w:t>
      </w:r>
      <w:r w:rsidR="00BA3B3D">
        <w:rPr>
          <w:rFonts w:asciiTheme="minorHAnsi" w:hAnsiTheme="minorHAnsi"/>
          <w:sz w:val="22"/>
          <w:lang w:val="fr-FR"/>
        </w:rPr>
        <w:t>d</w:t>
      </w:r>
      <w:r w:rsidRPr="00107B27">
        <w:rPr>
          <w:rFonts w:asciiTheme="minorHAnsi" w:hAnsiTheme="minorHAnsi"/>
          <w:sz w:val="22"/>
          <w:lang w:val="fr-FR"/>
        </w:rPr>
        <w:t xml:space="preserve">es défis et </w:t>
      </w:r>
      <w:r w:rsidR="00BA3B3D">
        <w:rPr>
          <w:rFonts w:asciiTheme="minorHAnsi" w:hAnsiTheme="minorHAnsi"/>
          <w:sz w:val="22"/>
          <w:lang w:val="fr-FR"/>
        </w:rPr>
        <w:t>d</w:t>
      </w:r>
      <w:r w:rsidRPr="00107B27">
        <w:rPr>
          <w:rFonts w:asciiTheme="minorHAnsi" w:hAnsiTheme="minorHAnsi"/>
          <w:sz w:val="22"/>
          <w:lang w:val="fr-FR"/>
        </w:rPr>
        <w:t>es leçons apprises. Le rapport contiendra également des recommandations générales pour les praticiens du développement, les décideurs, les évaluateurs et les bailleurs de fonds en vue de l'éventuelle adaptation et la réplication des bonnes pratiques.</w:t>
      </w:r>
    </w:p>
    <w:p w14:paraId="61BEA91E" w14:textId="3FD45016" w:rsidR="00107B27" w:rsidRPr="00107B27" w:rsidRDefault="00107B27" w:rsidP="00DA5708">
      <w:pPr>
        <w:spacing w:after="60"/>
        <w:jc w:val="both"/>
        <w:rPr>
          <w:rFonts w:asciiTheme="minorHAnsi" w:hAnsiTheme="minorHAnsi"/>
          <w:sz w:val="22"/>
          <w:lang w:val="fr-FR"/>
        </w:rPr>
      </w:pPr>
      <w:r w:rsidRPr="00107B27">
        <w:rPr>
          <w:rFonts w:asciiTheme="minorHAnsi" w:hAnsiTheme="minorHAnsi"/>
          <w:sz w:val="22"/>
          <w:lang w:val="fr-FR"/>
        </w:rPr>
        <w:lastRenderedPageBreak/>
        <w:t xml:space="preserve">Les candidats à l'appel ont la possibilité d'identifier, documenter, </w:t>
      </w:r>
      <w:r w:rsidR="00DA5708">
        <w:rPr>
          <w:rFonts w:asciiTheme="minorHAnsi" w:hAnsiTheme="minorHAnsi"/>
          <w:sz w:val="22"/>
          <w:lang w:val="fr-FR"/>
        </w:rPr>
        <w:t xml:space="preserve">analyser et mettre en valeur </w:t>
      </w:r>
      <w:r w:rsidR="000813C4">
        <w:rPr>
          <w:rFonts w:asciiTheme="minorHAnsi" w:hAnsiTheme="minorHAnsi"/>
          <w:sz w:val="22"/>
          <w:lang w:val="fr-FR"/>
        </w:rPr>
        <w:t>leur</w:t>
      </w:r>
      <w:r w:rsidR="000813C4" w:rsidRPr="00107B27">
        <w:rPr>
          <w:rFonts w:asciiTheme="minorHAnsi" w:hAnsiTheme="minorHAnsi"/>
          <w:sz w:val="22"/>
          <w:lang w:val="fr-FR"/>
        </w:rPr>
        <w:t>s expériences</w:t>
      </w:r>
      <w:r w:rsidRPr="00107B27">
        <w:rPr>
          <w:rFonts w:asciiTheme="minorHAnsi" w:hAnsiTheme="minorHAnsi"/>
          <w:sz w:val="22"/>
          <w:lang w:val="fr-FR"/>
        </w:rPr>
        <w:t xml:space="preserve"> qui contribuent à la construction d'une base de connaissances. L'inventaire constituera le point </w:t>
      </w:r>
      <w:r w:rsidR="00DA5708">
        <w:rPr>
          <w:rFonts w:asciiTheme="minorHAnsi" w:hAnsiTheme="minorHAnsi"/>
          <w:sz w:val="22"/>
          <w:lang w:val="fr-FR"/>
        </w:rPr>
        <w:t xml:space="preserve">de rencontre </w:t>
      </w:r>
      <w:r w:rsidRPr="00107B27">
        <w:rPr>
          <w:rFonts w:asciiTheme="minorHAnsi" w:hAnsiTheme="minorHAnsi"/>
          <w:sz w:val="22"/>
          <w:lang w:val="fr-FR"/>
        </w:rPr>
        <w:t xml:space="preserve">pour les </w:t>
      </w:r>
      <w:r w:rsidR="00DA5708">
        <w:rPr>
          <w:rFonts w:asciiTheme="minorHAnsi" w:hAnsiTheme="minorHAnsi"/>
          <w:sz w:val="22"/>
          <w:lang w:val="fr-FR"/>
        </w:rPr>
        <w:t>participants</w:t>
      </w:r>
      <w:r w:rsidRPr="00107B27">
        <w:rPr>
          <w:rFonts w:asciiTheme="minorHAnsi" w:hAnsiTheme="minorHAnsi"/>
          <w:sz w:val="22"/>
          <w:lang w:val="fr-FR"/>
        </w:rPr>
        <w:t xml:space="preserve"> et autres acteurs intéressés pour partager leurs expériences et améliorer les pratiques. Il facilitera la mise en place de </w:t>
      </w:r>
      <w:r w:rsidRPr="00DA5708">
        <w:rPr>
          <w:rFonts w:asciiTheme="minorHAnsi" w:hAnsiTheme="minorHAnsi"/>
          <w:b/>
          <w:bCs/>
          <w:sz w:val="22"/>
          <w:lang w:val="fr-FR"/>
        </w:rPr>
        <w:t>consultations d'experts</w:t>
      </w:r>
      <w:r w:rsidRPr="00107B27">
        <w:rPr>
          <w:rFonts w:asciiTheme="minorHAnsi" w:hAnsiTheme="minorHAnsi"/>
          <w:sz w:val="22"/>
          <w:lang w:val="fr-FR"/>
        </w:rPr>
        <w:t xml:space="preserve"> et </w:t>
      </w:r>
      <w:r w:rsidR="00BA3B3D">
        <w:rPr>
          <w:rFonts w:asciiTheme="minorHAnsi" w:hAnsiTheme="minorHAnsi"/>
          <w:sz w:val="22"/>
          <w:lang w:val="fr-FR"/>
        </w:rPr>
        <w:t>d’</w:t>
      </w:r>
      <w:r w:rsidRPr="00107B27">
        <w:rPr>
          <w:rFonts w:asciiTheme="minorHAnsi" w:hAnsiTheme="minorHAnsi"/>
          <w:sz w:val="22"/>
          <w:lang w:val="fr-FR"/>
        </w:rPr>
        <w:t xml:space="preserve">un </w:t>
      </w:r>
      <w:r w:rsidR="00DA5708" w:rsidRPr="00DA5708">
        <w:rPr>
          <w:rFonts w:asciiTheme="minorHAnsi" w:hAnsiTheme="minorHAnsi"/>
          <w:b/>
          <w:bCs/>
          <w:sz w:val="22"/>
          <w:lang w:val="fr-FR"/>
        </w:rPr>
        <w:t>e-</w:t>
      </w:r>
      <w:r w:rsidRPr="00DA5708">
        <w:rPr>
          <w:rFonts w:asciiTheme="minorHAnsi" w:hAnsiTheme="minorHAnsi"/>
          <w:b/>
          <w:bCs/>
          <w:sz w:val="22"/>
          <w:lang w:val="fr-FR"/>
        </w:rPr>
        <w:t>forum</w:t>
      </w:r>
      <w:r w:rsidRPr="00107B27">
        <w:rPr>
          <w:rFonts w:asciiTheme="minorHAnsi" w:hAnsiTheme="minorHAnsi"/>
          <w:sz w:val="22"/>
          <w:lang w:val="fr-FR"/>
        </w:rPr>
        <w:t xml:space="preserve"> électronique qui sera lié au réseau technique de la FAO sur la protection sociale.</w:t>
      </w:r>
    </w:p>
    <w:p w14:paraId="3E229EB1" w14:textId="14048E3F" w:rsidR="00271832" w:rsidRPr="007A058A" w:rsidRDefault="0040487B" w:rsidP="00DD1162">
      <w:pPr>
        <w:spacing w:after="60"/>
        <w:jc w:val="both"/>
        <w:rPr>
          <w:rFonts w:asciiTheme="minorHAnsi" w:hAnsiTheme="minorHAnsi"/>
          <w:b/>
          <w:bCs/>
          <w:i/>
          <w:iCs/>
          <w:color w:val="244061" w:themeColor="accent1" w:themeShade="80"/>
          <w:sz w:val="22"/>
          <w:lang w:val="fr-FR"/>
        </w:rPr>
      </w:pPr>
      <w:r w:rsidRPr="007A058A">
        <w:rPr>
          <w:rFonts w:asciiTheme="minorHAnsi" w:hAnsiTheme="minorHAnsi"/>
          <w:b/>
          <w:bCs/>
          <w:i/>
          <w:iCs/>
          <w:color w:val="244061" w:themeColor="accent1" w:themeShade="80"/>
          <w:sz w:val="22"/>
          <w:lang w:val="fr-FR"/>
        </w:rPr>
        <w:t>Méthodologie</w:t>
      </w:r>
    </w:p>
    <w:p w14:paraId="32780C18" w14:textId="61E0A2D6" w:rsidR="007A058A" w:rsidRPr="007A058A" w:rsidRDefault="007A058A" w:rsidP="007A058A">
      <w:pPr>
        <w:spacing w:after="60"/>
        <w:jc w:val="both"/>
        <w:rPr>
          <w:rFonts w:asciiTheme="minorHAnsi" w:hAnsiTheme="minorHAnsi"/>
          <w:iCs/>
          <w:sz w:val="22"/>
          <w:lang w:val="fr-FR"/>
        </w:rPr>
      </w:pPr>
      <w:r w:rsidRPr="007A058A">
        <w:rPr>
          <w:rFonts w:asciiTheme="minorHAnsi" w:hAnsiTheme="minorHAnsi"/>
          <w:iCs/>
          <w:sz w:val="22"/>
          <w:lang w:val="fr-FR"/>
        </w:rPr>
        <w:t xml:space="preserve">Cet appel à propositions est </w:t>
      </w:r>
      <w:r>
        <w:rPr>
          <w:rFonts w:asciiTheme="minorHAnsi" w:hAnsiTheme="minorHAnsi"/>
          <w:iCs/>
          <w:sz w:val="22"/>
          <w:lang w:val="fr-FR"/>
        </w:rPr>
        <w:t>distribué aux</w:t>
      </w:r>
      <w:r w:rsidRPr="007A058A">
        <w:rPr>
          <w:rFonts w:asciiTheme="minorHAnsi" w:hAnsiTheme="minorHAnsi"/>
          <w:iCs/>
          <w:sz w:val="22"/>
          <w:lang w:val="fr-FR"/>
        </w:rPr>
        <w:t xml:space="preserve"> </w:t>
      </w:r>
      <w:r>
        <w:rPr>
          <w:rFonts w:asciiTheme="minorHAnsi" w:hAnsiTheme="minorHAnsi"/>
          <w:iCs/>
          <w:sz w:val="22"/>
          <w:lang w:val="fr-FR"/>
        </w:rPr>
        <w:t>unités techniques et aux</w:t>
      </w:r>
      <w:r w:rsidRPr="007A058A">
        <w:rPr>
          <w:rFonts w:asciiTheme="minorHAnsi" w:hAnsiTheme="minorHAnsi"/>
          <w:iCs/>
          <w:sz w:val="22"/>
          <w:lang w:val="fr-FR"/>
        </w:rPr>
        <w:t xml:space="preserve"> bureaux décentralisés</w:t>
      </w:r>
      <w:r>
        <w:rPr>
          <w:rFonts w:asciiTheme="minorHAnsi" w:hAnsiTheme="minorHAnsi"/>
          <w:iCs/>
          <w:sz w:val="22"/>
          <w:lang w:val="fr-FR"/>
        </w:rPr>
        <w:t xml:space="preserve"> de </w:t>
      </w:r>
      <w:r w:rsidR="00BA3B3D">
        <w:rPr>
          <w:rFonts w:asciiTheme="minorHAnsi" w:hAnsiTheme="minorHAnsi"/>
          <w:iCs/>
          <w:sz w:val="22"/>
          <w:lang w:val="fr-FR"/>
        </w:rPr>
        <w:t xml:space="preserve">la </w:t>
      </w:r>
      <w:r>
        <w:rPr>
          <w:rFonts w:asciiTheme="minorHAnsi" w:hAnsiTheme="minorHAnsi"/>
          <w:iCs/>
          <w:sz w:val="22"/>
          <w:lang w:val="fr-FR"/>
        </w:rPr>
        <w:t>FAO,</w:t>
      </w:r>
      <w:r w:rsidRPr="007A058A">
        <w:rPr>
          <w:rFonts w:asciiTheme="minorHAnsi" w:hAnsiTheme="minorHAnsi"/>
          <w:iCs/>
          <w:sz w:val="22"/>
          <w:lang w:val="fr-FR"/>
        </w:rPr>
        <w:t xml:space="preserve"> et </w:t>
      </w:r>
      <w:r w:rsidR="00BA3B3D">
        <w:rPr>
          <w:rFonts w:asciiTheme="minorHAnsi" w:hAnsiTheme="minorHAnsi"/>
          <w:iCs/>
          <w:sz w:val="22"/>
          <w:lang w:val="fr-FR"/>
        </w:rPr>
        <w:t>à</w:t>
      </w:r>
      <w:r>
        <w:rPr>
          <w:rFonts w:asciiTheme="minorHAnsi" w:hAnsiTheme="minorHAnsi"/>
          <w:iCs/>
          <w:sz w:val="22"/>
          <w:lang w:val="fr-FR"/>
        </w:rPr>
        <w:t xml:space="preserve"> </w:t>
      </w:r>
      <w:r w:rsidR="00BA3B3D">
        <w:rPr>
          <w:rFonts w:asciiTheme="minorHAnsi" w:hAnsiTheme="minorHAnsi"/>
          <w:iCs/>
          <w:sz w:val="22"/>
          <w:lang w:val="fr-FR"/>
        </w:rPr>
        <w:t>d’</w:t>
      </w:r>
      <w:r w:rsidRPr="007A058A">
        <w:rPr>
          <w:rFonts w:asciiTheme="minorHAnsi" w:hAnsiTheme="minorHAnsi"/>
          <w:iCs/>
          <w:sz w:val="22"/>
          <w:lang w:val="fr-FR"/>
        </w:rPr>
        <w:t>autres partenaires. Il contient deux annexes pour guider les candidats à documenter leur pratique. ANNEXE A se réfère à des mécanismes participatifs dans les systèmes de PS; ANNEXE B renvoie à des pratiques collectives de gestion des risques</w:t>
      </w:r>
      <w:r w:rsidRPr="005F2BD1">
        <w:rPr>
          <w:rStyle w:val="FootnoteReference"/>
          <w:rFonts w:asciiTheme="minorHAnsi" w:hAnsiTheme="minorHAnsi"/>
          <w:sz w:val="22"/>
        </w:rPr>
        <w:footnoteReference w:id="7"/>
      </w:r>
      <w:r w:rsidRPr="007A058A">
        <w:rPr>
          <w:rFonts w:asciiTheme="minorHAnsi" w:hAnsiTheme="minorHAnsi"/>
          <w:iCs/>
          <w:sz w:val="22"/>
          <w:lang w:val="fr-FR"/>
        </w:rPr>
        <w:t xml:space="preserve">. Cette phase sera suivie par la sélection, l'analyse et l'édition des pratiques, un processus de validation avec les participants, suivi d'une consultation ouverte </w:t>
      </w:r>
      <w:r>
        <w:rPr>
          <w:rFonts w:asciiTheme="minorHAnsi" w:hAnsiTheme="minorHAnsi"/>
          <w:iCs/>
          <w:sz w:val="22"/>
          <w:lang w:val="fr-FR"/>
        </w:rPr>
        <w:t>sur un e-</w:t>
      </w:r>
      <w:r w:rsidRPr="007A058A">
        <w:rPr>
          <w:rFonts w:asciiTheme="minorHAnsi" w:hAnsiTheme="minorHAnsi"/>
          <w:iCs/>
          <w:sz w:val="22"/>
          <w:lang w:val="fr-FR"/>
        </w:rPr>
        <w:t>forum avec des experts et praticiens externes.</w:t>
      </w:r>
    </w:p>
    <w:p w14:paraId="75D2BAA8" w14:textId="45E6CC8F" w:rsidR="009C43F0" w:rsidRPr="009C43F0" w:rsidRDefault="009C43F0" w:rsidP="009C43F0">
      <w:pPr>
        <w:spacing w:after="60"/>
        <w:jc w:val="center"/>
        <w:rPr>
          <w:rFonts w:asciiTheme="minorHAnsi" w:hAnsiTheme="minorHAnsi"/>
          <w:i/>
          <w:iCs/>
          <w:sz w:val="22"/>
          <w:u w:val="single"/>
          <w:lang w:val="fr-FR"/>
        </w:rPr>
      </w:pPr>
      <w:r w:rsidRPr="009C43F0">
        <w:rPr>
          <w:rFonts w:asciiTheme="minorHAnsi" w:hAnsiTheme="minorHAnsi"/>
          <w:i/>
          <w:iCs/>
          <w:sz w:val="22"/>
          <w:u w:val="single"/>
          <w:lang w:val="fr-FR"/>
        </w:rPr>
        <w:t>Critères de sélection des organisations pertinentes (plus de détails dans les ANNEXES)</w:t>
      </w:r>
    </w:p>
    <w:p w14:paraId="5C305D05" w14:textId="65D02405" w:rsidR="009C43F0" w:rsidRPr="009C43F0" w:rsidRDefault="009C43F0" w:rsidP="0040487B">
      <w:pPr>
        <w:pStyle w:val="ListParagraph"/>
        <w:numPr>
          <w:ilvl w:val="0"/>
          <w:numId w:val="7"/>
        </w:numPr>
        <w:spacing w:after="60"/>
        <w:contextualSpacing w:val="0"/>
        <w:jc w:val="both"/>
        <w:rPr>
          <w:rFonts w:asciiTheme="minorHAnsi" w:hAnsiTheme="minorHAnsi"/>
          <w:sz w:val="22"/>
          <w:lang w:val="fr-FR"/>
        </w:rPr>
      </w:pPr>
      <w:r>
        <w:rPr>
          <w:rFonts w:asciiTheme="minorHAnsi" w:hAnsiTheme="minorHAnsi"/>
          <w:sz w:val="22"/>
          <w:lang w:val="fr-FR"/>
        </w:rPr>
        <w:t>Les p</w:t>
      </w:r>
      <w:r w:rsidRPr="009C43F0">
        <w:rPr>
          <w:rFonts w:asciiTheme="minorHAnsi" w:hAnsiTheme="minorHAnsi"/>
          <w:sz w:val="22"/>
          <w:lang w:val="fr-FR"/>
        </w:rPr>
        <w:t>ratiques se réfèrent à un type</w:t>
      </w:r>
      <w:r>
        <w:rPr>
          <w:rFonts w:asciiTheme="minorHAnsi" w:hAnsiTheme="minorHAnsi"/>
          <w:sz w:val="22"/>
          <w:lang w:val="fr-FR"/>
        </w:rPr>
        <w:t xml:space="preserve"> d'organisation figurant dans le</w:t>
      </w:r>
      <w:r w:rsidRPr="009C43F0">
        <w:rPr>
          <w:rFonts w:asciiTheme="minorHAnsi" w:hAnsiTheme="minorHAnsi"/>
          <w:sz w:val="22"/>
          <w:lang w:val="fr-FR"/>
        </w:rPr>
        <w:t xml:space="preserve"> </w:t>
      </w:r>
      <w:r>
        <w:rPr>
          <w:rFonts w:asciiTheme="minorHAnsi" w:hAnsiTheme="minorHAnsi"/>
          <w:sz w:val="22"/>
          <w:lang w:val="fr-FR"/>
        </w:rPr>
        <w:t>justificatif</w:t>
      </w:r>
      <w:r w:rsidRPr="009C43F0">
        <w:rPr>
          <w:rFonts w:asciiTheme="minorHAnsi" w:hAnsiTheme="minorHAnsi"/>
          <w:sz w:val="22"/>
          <w:lang w:val="fr-FR"/>
        </w:rPr>
        <w:t xml:space="preserve">: les organisations de micro-assurance et de la microfinance; </w:t>
      </w:r>
      <w:r w:rsidR="0040487B" w:rsidRPr="009C43F0">
        <w:rPr>
          <w:rFonts w:asciiTheme="minorHAnsi" w:hAnsiTheme="minorHAnsi"/>
          <w:sz w:val="22"/>
          <w:lang w:val="fr-FR"/>
        </w:rPr>
        <w:t xml:space="preserve">les organisations </w:t>
      </w:r>
      <w:r w:rsidR="0040487B">
        <w:rPr>
          <w:rFonts w:asciiTheme="minorHAnsi" w:hAnsiTheme="minorHAnsi"/>
          <w:sz w:val="22"/>
          <w:lang w:val="fr-FR"/>
        </w:rPr>
        <w:t xml:space="preserve">des </w:t>
      </w:r>
      <w:r w:rsidRPr="009C43F0">
        <w:rPr>
          <w:rFonts w:asciiTheme="minorHAnsi" w:hAnsiTheme="minorHAnsi"/>
          <w:sz w:val="22"/>
          <w:lang w:val="fr-FR"/>
        </w:rPr>
        <w:t xml:space="preserve">producteurs, </w:t>
      </w:r>
      <w:r w:rsidR="0040487B">
        <w:rPr>
          <w:rFonts w:asciiTheme="minorHAnsi" w:hAnsiTheme="minorHAnsi"/>
          <w:sz w:val="22"/>
          <w:lang w:val="fr-FR"/>
        </w:rPr>
        <w:t xml:space="preserve">commerçants </w:t>
      </w:r>
      <w:r w:rsidRPr="009C43F0">
        <w:rPr>
          <w:rFonts w:asciiTheme="minorHAnsi" w:hAnsiTheme="minorHAnsi"/>
          <w:sz w:val="22"/>
          <w:lang w:val="fr-FR"/>
        </w:rPr>
        <w:t>et transformateurs</w:t>
      </w:r>
      <w:r w:rsidR="0040487B">
        <w:rPr>
          <w:rFonts w:asciiTheme="minorHAnsi" w:hAnsiTheme="minorHAnsi"/>
          <w:sz w:val="22"/>
          <w:lang w:val="fr-FR"/>
        </w:rPr>
        <w:t xml:space="preserve"> de produits</w:t>
      </w:r>
      <w:r w:rsidRPr="009C43F0">
        <w:rPr>
          <w:rFonts w:asciiTheme="minorHAnsi" w:hAnsiTheme="minorHAnsi"/>
          <w:sz w:val="22"/>
          <w:lang w:val="fr-FR"/>
        </w:rPr>
        <w:t xml:space="preserve">; et </w:t>
      </w:r>
      <w:r w:rsidR="0040487B">
        <w:rPr>
          <w:rFonts w:asciiTheme="minorHAnsi" w:hAnsiTheme="minorHAnsi"/>
          <w:sz w:val="22"/>
          <w:lang w:val="fr-FR"/>
        </w:rPr>
        <w:t>les</w:t>
      </w:r>
      <w:r w:rsidRPr="009C43F0">
        <w:rPr>
          <w:rFonts w:asciiTheme="minorHAnsi" w:hAnsiTheme="minorHAnsi"/>
          <w:sz w:val="22"/>
          <w:lang w:val="fr-FR"/>
        </w:rPr>
        <w:t xml:space="preserve"> groupes informels. </w:t>
      </w:r>
      <w:r w:rsidR="0040487B">
        <w:rPr>
          <w:rFonts w:asciiTheme="minorHAnsi" w:hAnsiTheme="minorHAnsi"/>
          <w:sz w:val="22"/>
          <w:lang w:val="fr-FR"/>
        </w:rPr>
        <w:t>Les</w:t>
      </w:r>
      <w:r w:rsidRPr="009C43F0">
        <w:rPr>
          <w:rFonts w:asciiTheme="minorHAnsi" w:hAnsiTheme="minorHAnsi"/>
          <w:sz w:val="22"/>
          <w:lang w:val="fr-FR"/>
        </w:rPr>
        <w:t xml:space="preserve"> comités sociaux établis </w:t>
      </w:r>
      <w:r w:rsidR="0040487B">
        <w:rPr>
          <w:rFonts w:asciiTheme="minorHAnsi" w:hAnsiTheme="minorHAnsi"/>
          <w:sz w:val="22"/>
          <w:lang w:val="fr-FR"/>
        </w:rPr>
        <w:t>au sein des</w:t>
      </w:r>
      <w:r w:rsidRPr="009C43F0">
        <w:rPr>
          <w:rFonts w:asciiTheme="minorHAnsi" w:hAnsiTheme="minorHAnsi"/>
          <w:sz w:val="22"/>
          <w:lang w:val="fr-FR"/>
        </w:rPr>
        <w:t xml:space="preserve"> systèmes de PS et où </w:t>
      </w:r>
      <w:r w:rsidR="0040487B">
        <w:rPr>
          <w:rFonts w:asciiTheme="minorHAnsi" w:hAnsiTheme="minorHAnsi"/>
          <w:sz w:val="22"/>
          <w:lang w:val="fr-FR"/>
        </w:rPr>
        <w:t>les</w:t>
      </w:r>
      <w:r w:rsidRPr="009C43F0">
        <w:rPr>
          <w:rFonts w:asciiTheme="minorHAnsi" w:hAnsiTheme="minorHAnsi"/>
          <w:sz w:val="22"/>
          <w:lang w:val="fr-FR"/>
        </w:rPr>
        <w:t xml:space="preserve"> </w:t>
      </w:r>
      <w:r w:rsidR="0040487B">
        <w:rPr>
          <w:rFonts w:asciiTheme="minorHAnsi" w:hAnsiTheme="minorHAnsi"/>
          <w:sz w:val="22"/>
          <w:lang w:val="fr-FR"/>
        </w:rPr>
        <w:t>intérêts</w:t>
      </w:r>
      <w:r w:rsidRPr="009C43F0">
        <w:rPr>
          <w:rFonts w:asciiTheme="minorHAnsi" w:hAnsiTheme="minorHAnsi"/>
          <w:sz w:val="22"/>
          <w:lang w:val="fr-FR"/>
        </w:rPr>
        <w:t xml:space="preserve"> </w:t>
      </w:r>
      <w:r w:rsidR="0040487B">
        <w:rPr>
          <w:rFonts w:asciiTheme="minorHAnsi" w:hAnsiTheme="minorHAnsi"/>
          <w:sz w:val="22"/>
          <w:lang w:val="fr-FR"/>
        </w:rPr>
        <w:t>des</w:t>
      </w:r>
      <w:r w:rsidR="0040487B" w:rsidRPr="009C43F0">
        <w:rPr>
          <w:rFonts w:asciiTheme="minorHAnsi" w:hAnsiTheme="minorHAnsi"/>
          <w:sz w:val="22"/>
          <w:lang w:val="fr-FR"/>
        </w:rPr>
        <w:t xml:space="preserve"> populations rurales sont représentés </w:t>
      </w:r>
      <w:r w:rsidR="0040487B">
        <w:rPr>
          <w:rFonts w:asciiTheme="minorHAnsi" w:hAnsiTheme="minorHAnsi"/>
          <w:sz w:val="22"/>
          <w:lang w:val="fr-FR"/>
        </w:rPr>
        <w:t xml:space="preserve">doivent aussi être </w:t>
      </w:r>
      <w:r w:rsidRPr="009C43F0">
        <w:rPr>
          <w:rFonts w:asciiTheme="minorHAnsi" w:hAnsiTheme="minorHAnsi"/>
          <w:sz w:val="22"/>
          <w:lang w:val="fr-FR"/>
        </w:rPr>
        <w:t>considérés.</w:t>
      </w:r>
    </w:p>
    <w:p w14:paraId="7E4317BE" w14:textId="7C97F974" w:rsidR="009C43F0" w:rsidRDefault="009C43F0" w:rsidP="0040487B">
      <w:pPr>
        <w:pStyle w:val="ListParagraph"/>
        <w:numPr>
          <w:ilvl w:val="0"/>
          <w:numId w:val="7"/>
        </w:numPr>
        <w:spacing w:after="60"/>
        <w:contextualSpacing w:val="0"/>
        <w:jc w:val="both"/>
        <w:rPr>
          <w:rFonts w:asciiTheme="minorHAnsi" w:hAnsiTheme="minorHAnsi"/>
          <w:sz w:val="22"/>
          <w:lang w:val="fr-FR"/>
        </w:rPr>
      </w:pPr>
      <w:r w:rsidRPr="009C43F0">
        <w:rPr>
          <w:rFonts w:asciiTheme="minorHAnsi" w:hAnsiTheme="minorHAnsi"/>
          <w:sz w:val="22"/>
          <w:lang w:val="fr-FR"/>
        </w:rPr>
        <w:t>L'organisation doit être basée sur l</w:t>
      </w:r>
      <w:r w:rsidR="0040487B">
        <w:rPr>
          <w:rFonts w:asciiTheme="minorHAnsi" w:hAnsiTheme="minorHAnsi"/>
          <w:sz w:val="22"/>
          <w:lang w:val="fr-FR"/>
        </w:rPr>
        <w:t>a participation d</w:t>
      </w:r>
      <w:r w:rsidRPr="009C43F0">
        <w:rPr>
          <w:rFonts w:asciiTheme="minorHAnsi" w:hAnsiTheme="minorHAnsi"/>
          <w:sz w:val="22"/>
          <w:lang w:val="fr-FR"/>
        </w:rPr>
        <w:t xml:space="preserve">es membres et </w:t>
      </w:r>
      <w:r w:rsidR="0040487B">
        <w:rPr>
          <w:rFonts w:asciiTheme="minorHAnsi" w:hAnsiTheme="minorHAnsi"/>
          <w:sz w:val="22"/>
          <w:lang w:val="fr-FR"/>
        </w:rPr>
        <w:t>montre</w:t>
      </w:r>
      <w:r w:rsidR="00BA3B3D">
        <w:rPr>
          <w:rFonts w:asciiTheme="minorHAnsi" w:hAnsiTheme="minorHAnsi"/>
          <w:sz w:val="22"/>
          <w:lang w:val="fr-FR"/>
        </w:rPr>
        <w:t>r</w:t>
      </w:r>
      <w:r w:rsidR="0040487B" w:rsidRPr="0040487B">
        <w:rPr>
          <w:rFonts w:asciiTheme="minorHAnsi" w:hAnsiTheme="minorHAnsi"/>
          <w:sz w:val="22"/>
          <w:lang w:val="fr-FR"/>
        </w:rPr>
        <w:t xml:space="preserve"> </w:t>
      </w:r>
      <w:r w:rsidR="0040487B">
        <w:rPr>
          <w:rFonts w:asciiTheme="minorHAnsi" w:hAnsiTheme="minorHAnsi"/>
          <w:sz w:val="22"/>
          <w:lang w:val="fr-FR"/>
        </w:rPr>
        <w:t xml:space="preserve">une </w:t>
      </w:r>
      <w:r w:rsidR="0040487B" w:rsidRPr="009C43F0">
        <w:rPr>
          <w:rFonts w:asciiTheme="minorHAnsi" w:hAnsiTheme="minorHAnsi"/>
          <w:sz w:val="22"/>
          <w:lang w:val="fr-FR"/>
        </w:rPr>
        <w:t>régularité des réunions</w:t>
      </w:r>
      <w:r w:rsidR="0040487B">
        <w:rPr>
          <w:rFonts w:asciiTheme="minorHAnsi" w:hAnsiTheme="minorHAnsi"/>
          <w:sz w:val="22"/>
          <w:lang w:val="fr-FR"/>
        </w:rPr>
        <w:t xml:space="preserve"> dans</w:t>
      </w:r>
      <w:r w:rsidRPr="009C43F0">
        <w:rPr>
          <w:rFonts w:asciiTheme="minorHAnsi" w:hAnsiTheme="minorHAnsi"/>
          <w:sz w:val="22"/>
          <w:lang w:val="fr-FR"/>
        </w:rPr>
        <w:t xml:space="preserve"> une certaine mesure.</w:t>
      </w:r>
    </w:p>
    <w:p w14:paraId="2A9EB5C4" w14:textId="6DB68A1C" w:rsidR="00EA17A7" w:rsidRPr="00706351" w:rsidRDefault="009C43F0" w:rsidP="00706351">
      <w:pPr>
        <w:pStyle w:val="ListParagraph"/>
        <w:numPr>
          <w:ilvl w:val="0"/>
          <w:numId w:val="7"/>
        </w:numPr>
        <w:spacing w:after="60"/>
        <w:contextualSpacing w:val="0"/>
        <w:jc w:val="both"/>
        <w:rPr>
          <w:rFonts w:asciiTheme="minorHAnsi" w:hAnsiTheme="minorHAnsi"/>
          <w:sz w:val="22"/>
          <w:lang w:val="fr-FR"/>
        </w:rPr>
      </w:pPr>
      <w:r w:rsidRPr="009C43F0">
        <w:rPr>
          <w:rFonts w:asciiTheme="minorHAnsi" w:hAnsiTheme="minorHAnsi"/>
          <w:sz w:val="22"/>
          <w:lang w:val="fr-FR"/>
        </w:rPr>
        <w:t xml:space="preserve">L'organisation opère dans les zones rurales et en faveur des petits exploitants ou </w:t>
      </w:r>
      <w:r w:rsidR="0040487B">
        <w:rPr>
          <w:rFonts w:asciiTheme="minorHAnsi" w:hAnsiTheme="minorHAnsi"/>
          <w:sz w:val="22"/>
          <w:lang w:val="fr-FR"/>
        </w:rPr>
        <w:t>travailleurs</w:t>
      </w:r>
      <w:r w:rsidRPr="009C43F0">
        <w:rPr>
          <w:rFonts w:asciiTheme="minorHAnsi" w:hAnsiTheme="minorHAnsi"/>
          <w:sz w:val="22"/>
          <w:lang w:val="fr-FR"/>
        </w:rPr>
        <w:t xml:space="preserve"> agricoles dont la subsistance dépend, dans une certaine mesure, </w:t>
      </w:r>
      <w:r w:rsidR="0040487B">
        <w:rPr>
          <w:rFonts w:asciiTheme="minorHAnsi" w:hAnsiTheme="minorHAnsi"/>
          <w:sz w:val="22"/>
          <w:lang w:val="fr-FR"/>
        </w:rPr>
        <w:t>de</w:t>
      </w:r>
      <w:r w:rsidRPr="009C43F0">
        <w:rPr>
          <w:rFonts w:asciiTheme="minorHAnsi" w:hAnsiTheme="minorHAnsi"/>
          <w:sz w:val="22"/>
          <w:lang w:val="fr-FR"/>
        </w:rPr>
        <w:t xml:space="preserve"> l'agriculture, l'élevage, la pêche et la foresterie.</w:t>
      </w:r>
    </w:p>
    <w:p w14:paraId="5EE60D6E" w14:textId="49F202AF" w:rsidR="004B51CB" w:rsidRPr="00706351" w:rsidRDefault="00706351" w:rsidP="000813C4">
      <w:pPr>
        <w:spacing w:before="120" w:after="60"/>
        <w:jc w:val="center"/>
        <w:rPr>
          <w:rFonts w:asciiTheme="minorHAnsi" w:hAnsiTheme="minorHAnsi"/>
          <w:i/>
          <w:iCs/>
          <w:sz w:val="22"/>
          <w:u w:val="single"/>
          <w:lang w:val="fr-FR"/>
        </w:rPr>
      </w:pPr>
      <w:r w:rsidRPr="00706351">
        <w:rPr>
          <w:rFonts w:asciiTheme="minorHAnsi" w:hAnsiTheme="minorHAnsi"/>
          <w:i/>
          <w:iCs/>
          <w:sz w:val="22"/>
          <w:u w:val="single"/>
          <w:lang w:val="fr-FR"/>
        </w:rPr>
        <w:t>Critères de sélection des pratiques pertinentes (plus de détails dans les ANNEXES)</w:t>
      </w:r>
    </w:p>
    <w:tbl>
      <w:tblPr>
        <w:tblStyle w:val="TableGrid"/>
        <w:tblW w:w="0" w:type="auto"/>
        <w:tblBorders>
          <w:top w:val="none" w:sz="0" w:space="0" w:color="auto"/>
          <w:left w:val="none" w:sz="0" w:space="0" w:color="auto"/>
          <w:bottom w:val="none" w:sz="0" w:space="0" w:color="auto"/>
          <w:right w:val="none" w:sz="0" w:space="0" w:color="auto"/>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4643"/>
        <w:gridCol w:w="4644"/>
      </w:tblGrid>
      <w:tr w:rsidR="004C3B2B" w:rsidRPr="001026A8" w14:paraId="01BA0169" w14:textId="77777777" w:rsidTr="004C3B2B">
        <w:tc>
          <w:tcPr>
            <w:tcW w:w="4643" w:type="dxa"/>
          </w:tcPr>
          <w:p w14:paraId="3A9E298D" w14:textId="43E07EF7" w:rsidR="00C91EED" w:rsidRPr="00706351" w:rsidRDefault="00706351" w:rsidP="00706351">
            <w:pPr>
              <w:spacing w:before="120" w:after="60"/>
              <w:jc w:val="both"/>
              <w:rPr>
                <w:rFonts w:asciiTheme="minorHAnsi" w:hAnsiTheme="minorHAnsi"/>
                <w:b/>
                <w:bCs/>
                <w:i/>
                <w:iCs/>
                <w:color w:val="244061" w:themeColor="accent1" w:themeShade="80"/>
                <w:lang w:val="fr-FR"/>
              </w:rPr>
            </w:pPr>
            <w:r w:rsidRPr="00706351">
              <w:rPr>
                <w:rFonts w:asciiTheme="minorHAnsi" w:hAnsiTheme="minorHAnsi"/>
                <w:b/>
                <w:bCs/>
                <w:i/>
                <w:iCs/>
                <w:color w:val="244061" w:themeColor="accent1" w:themeShade="80"/>
                <w:lang w:val="fr-FR"/>
              </w:rPr>
              <w:t>Les mécanismes participatifs dans les systèmes de PS</w:t>
            </w:r>
          </w:p>
          <w:p w14:paraId="2E9E7FB6" w14:textId="01D3C429" w:rsidR="00706351" w:rsidRPr="00706351" w:rsidRDefault="00706351" w:rsidP="00706351">
            <w:pPr>
              <w:pStyle w:val="ListParagraph"/>
              <w:numPr>
                <w:ilvl w:val="0"/>
                <w:numId w:val="7"/>
              </w:numPr>
              <w:spacing w:after="60"/>
              <w:contextualSpacing w:val="0"/>
              <w:jc w:val="both"/>
              <w:rPr>
                <w:rFonts w:asciiTheme="minorHAnsi" w:hAnsiTheme="minorHAnsi"/>
                <w:lang w:val="fr-FR"/>
              </w:rPr>
            </w:pPr>
            <w:r w:rsidRPr="00706351">
              <w:rPr>
                <w:rFonts w:asciiTheme="minorHAnsi" w:hAnsiTheme="minorHAnsi"/>
                <w:bCs/>
                <w:iCs/>
                <w:lang w:val="fr-FR"/>
              </w:rPr>
              <w:t>La pratique se réfère à un ou plusieurs mécanismes participatifs de consultation, collaboration et dévolution d</w:t>
            </w:r>
            <w:r w:rsidR="00BA3B3D">
              <w:rPr>
                <w:rFonts w:asciiTheme="minorHAnsi" w:hAnsiTheme="minorHAnsi"/>
                <w:bCs/>
                <w:iCs/>
                <w:lang w:val="fr-FR"/>
              </w:rPr>
              <w:t>u</w:t>
            </w:r>
            <w:r w:rsidRPr="00706351">
              <w:rPr>
                <w:rFonts w:asciiTheme="minorHAnsi" w:hAnsiTheme="minorHAnsi"/>
                <w:bCs/>
                <w:iCs/>
                <w:lang w:val="fr-FR"/>
              </w:rPr>
              <w:t xml:space="preserve"> pouvoir de décision</w:t>
            </w:r>
            <w:r w:rsidRPr="005F2BD1">
              <w:rPr>
                <w:rStyle w:val="FootnoteReference"/>
                <w:rFonts w:asciiTheme="minorHAnsi" w:hAnsiTheme="minorHAnsi"/>
              </w:rPr>
              <w:footnoteReference w:id="8"/>
            </w:r>
            <w:r w:rsidRPr="00706351">
              <w:rPr>
                <w:rFonts w:asciiTheme="minorHAnsi" w:hAnsiTheme="minorHAnsi"/>
                <w:bCs/>
                <w:iCs/>
                <w:lang w:val="fr-FR"/>
              </w:rPr>
              <w:t>.</w:t>
            </w:r>
          </w:p>
          <w:p w14:paraId="61002FCC" w14:textId="4B968E0E" w:rsidR="00706351" w:rsidRPr="00706351" w:rsidRDefault="00706351" w:rsidP="00706351">
            <w:pPr>
              <w:pStyle w:val="ListParagraph"/>
              <w:numPr>
                <w:ilvl w:val="0"/>
                <w:numId w:val="7"/>
              </w:numPr>
              <w:spacing w:after="60"/>
              <w:contextualSpacing w:val="0"/>
              <w:jc w:val="both"/>
              <w:rPr>
                <w:rFonts w:asciiTheme="minorHAnsi" w:hAnsiTheme="minorHAnsi"/>
                <w:lang w:val="fr-FR"/>
              </w:rPr>
            </w:pPr>
            <w:r>
              <w:rPr>
                <w:rFonts w:asciiTheme="minorHAnsi" w:hAnsiTheme="minorHAnsi"/>
                <w:bCs/>
                <w:iCs/>
                <w:lang w:val="fr-FR"/>
              </w:rPr>
              <w:t xml:space="preserve">Les </w:t>
            </w:r>
            <w:r w:rsidRPr="00706351">
              <w:rPr>
                <w:rFonts w:asciiTheme="minorHAnsi" w:hAnsiTheme="minorHAnsi"/>
                <w:bCs/>
                <w:iCs/>
                <w:lang w:val="fr-FR"/>
              </w:rPr>
              <w:t>membres pauvres et vulnérables sont représentés dans les mécanismes participatifs.</w:t>
            </w:r>
          </w:p>
        </w:tc>
        <w:tc>
          <w:tcPr>
            <w:tcW w:w="4644" w:type="dxa"/>
          </w:tcPr>
          <w:p w14:paraId="5F3685FD" w14:textId="5302DE0E" w:rsidR="00C91EED" w:rsidRPr="00706351" w:rsidRDefault="004C3B2B" w:rsidP="00706351">
            <w:pPr>
              <w:spacing w:before="120" w:after="60"/>
              <w:jc w:val="both"/>
              <w:rPr>
                <w:rFonts w:asciiTheme="minorHAnsi" w:hAnsiTheme="minorHAnsi"/>
                <w:bCs/>
                <w:iCs/>
                <w:lang w:val="fr-FR"/>
              </w:rPr>
            </w:pPr>
            <w:r w:rsidRPr="00706351">
              <w:rPr>
                <w:rFonts w:asciiTheme="minorHAnsi" w:hAnsiTheme="minorHAnsi"/>
                <w:lang w:val="fr-FR"/>
              </w:rPr>
              <w:t xml:space="preserve"> </w:t>
            </w:r>
            <w:r w:rsidR="00706351" w:rsidRPr="00706351">
              <w:rPr>
                <w:rFonts w:asciiTheme="minorHAnsi" w:hAnsiTheme="minorHAnsi"/>
                <w:b/>
                <w:bCs/>
                <w:i/>
                <w:iCs/>
                <w:color w:val="244061" w:themeColor="accent1" w:themeShade="80"/>
                <w:lang w:val="fr-FR"/>
              </w:rPr>
              <w:t>Pratiques collectives de gestion des risques</w:t>
            </w:r>
          </w:p>
          <w:p w14:paraId="3185CC6C" w14:textId="41EAD3F1" w:rsidR="004D0729" w:rsidRPr="004D0729" w:rsidRDefault="00706351" w:rsidP="004D0729">
            <w:pPr>
              <w:pStyle w:val="ListParagraph"/>
              <w:numPr>
                <w:ilvl w:val="0"/>
                <w:numId w:val="7"/>
              </w:numPr>
              <w:spacing w:after="60"/>
              <w:contextualSpacing w:val="0"/>
              <w:jc w:val="both"/>
              <w:rPr>
                <w:rFonts w:asciiTheme="minorHAnsi" w:hAnsiTheme="minorHAnsi"/>
                <w:lang w:val="fr-FR"/>
              </w:rPr>
            </w:pPr>
            <w:r w:rsidRPr="004D0729">
              <w:rPr>
                <w:rFonts w:asciiTheme="minorHAnsi" w:hAnsiTheme="minorHAnsi"/>
                <w:bCs/>
                <w:iCs/>
                <w:lang w:val="fr-FR"/>
              </w:rPr>
              <w:t xml:space="preserve">La pratique répond </w:t>
            </w:r>
            <w:r w:rsidR="00BA3B3D">
              <w:rPr>
                <w:rFonts w:asciiTheme="minorHAnsi" w:hAnsiTheme="minorHAnsi"/>
                <w:bCs/>
                <w:iCs/>
                <w:lang w:val="fr-FR"/>
              </w:rPr>
              <w:t>à une</w:t>
            </w:r>
            <w:r w:rsidR="00BA3B3D" w:rsidRPr="004D0729">
              <w:rPr>
                <w:rFonts w:asciiTheme="minorHAnsi" w:hAnsiTheme="minorHAnsi"/>
                <w:bCs/>
                <w:iCs/>
                <w:lang w:val="fr-FR"/>
              </w:rPr>
              <w:t xml:space="preserve"> </w:t>
            </w:r>
            <w:r w:rsidRPr="004D0729">
              <w:rPr>
                <w:rFonts w:asciiTheme="minorHAnsi" w:hAnsiTheme="minorHAnsi"/>
                <w:bCs/>
                <w:iCs/>
                <w:lang w:val="fr-FR"/>
              </w:rPr>
              <w:t>situation de pauvreté et de vulnérabilité</w:t>
            </w:r>
            <w:r w:rsidR="004D0729">
              <w:rPr>
                <w:rFonts w:asciiTheme="minorHAnsi" w:hAnsiTheme="minorHAnsi"/>
                <w:bCs/>
                <w:iCs/>
                <w:lang w:val="fr-FR"/>
              </w:rPr>
              <w:t>.</w:t>
            </w:r>
          </w:p>
          <w:p w14:paraId="477F8264" w14:textId="656C7E51" w:rsidR="00EA17A7" w:rsidRPr="000813C4" w:rsidRDefault="00706351" w:rsidP="000813C4">
            <w:pPr>
              <w:pStyle w:val="ListParagraph"/>
              <w:numPr>
                <w:ilvl w:val="0"/>
                <w:numId w:val="7"/>
              </w:numPr>
              <w:spacing w:after="60"/>
              <w:contextualSpacing w:val="0"/>
              <w:jc w:val="both"/>
              <w:rPr>
                <w:rFonts w:asciiTheme="minorHAnsi" w:hAnsiTheme="minorHAnsi"/>
                <w:lang w:val="fr-FR"/>
              </w:rPr>
            </w:pPr>
            <w:r w:rsidRPr="004D0729">
              <w:rPr>
                <w:rFonts w:asciiTheme="minorHAnsi" w:hAnsiTheme="minorHAnsi"/>
                <w:bCs/>
                <w:iCs/>
                <w:lang w:val="fr-FR"/>
              </w:rPr>
              <w:t>La pratique remplit  une ou plusieurs des fonctions suivant</w:t>
            </w:r>
            <w:r w:rsidR="00BA3B3D">
              <w:rPr>
                <w:rFonts w:asciiTheme="minorHAnsi" w:hAnsiTheme="minorHAnsi"/>
                <w:bCs/>
                <w:iCs/>
                <w:lang w:val="fr-FR"/>
              </w:rPr>
              <w:t>e</w:t>
            </w:r>
            <w:r w:rsidRPr="004D0729">
              <w:rPr>
                <w:rFonts w:asciiTheme="minorHAnsi" w:hAnsiTheme="minorHAnsi"/>
                <w:bCs/>
                <w:iCs/>
                <w:lang w:val="fr-FR"/>
              </w:rPr>
              <w:t>s: la réduction et la gestion des risques; la sécurité alimentaire; la stabilité des revenus; la fourniture de services essentiels (par exemple, la santé et l’éducation).</w:t>
            </w:r>
          </w:p>
        </w:tc>
      </w:tr>
    </w:tbl>
    <w:p w14:paraId="7C3702BF" w14:textId="1E6D4F1D" w:rsidR="00706351" w:rsidRPr="00706351" w:rsidRDefault="004D0729" w:rsidP="004D0729">
      <w:pPr>
        <w:spacing w:before="120" w:after="60"/>
        <w:jc w:val="both"/>
        <w:rPr>
          <w:rFonts w:asciiTheme="minorHAnsi" w:hAnsiTheme="minorHAnsi"/>
          <w:bCs/>
          <w:iCs/>
          <w:sz w:val="22"/>
          <w:lang w:val="fr-FR"/>
        </w:rPr>
      </w:pPr>
      <w:r w:rsidRPr="004D0729">
        <w:rPr>
          <w:rFonts w:asciiTheme="minorHAnsi" w:hAnsiTheme="minorHAnsi"/>
          <w:bCs/>
          <w:iCs/>
          <w:sz w:val="22"/>
          <w:lang w:val="fr-FR"/>
        </w:rPr>
        <w:t>Les participants seront invités à décrire et évaluer la pratique en suivant les instructions dans les annexes. L'évaluation est</w:t>
      </w:r>
      <w:r>
        <w:rPr>
          <w:rFonts w:asciiTheme="minorHAnsi" w:hAnsiTheme="minorHAnsi"/>
          <w:bCs/>
          <w:iCs/>
          <w:sz w:val="22"/>
          <w:lang w:val="fr-FR"/>
        </w:rPr>
        <w:t xml:space="preserve"> faite selon des critères de: </w:t>
      </w:r>
      <w:r w:rsidRPr="004D0729">
        <w:rPr>
          <w:rFonts w:asciiTheme="minorHAnsi" w:hAnsiTheme="minorHAnsi"/>
          <w:bCs/>
          <w:iCs/>
          <w:sz w:val="22"/>
          <w:lang w:val="fr-FR"/>
        </w:rPr>
        <w:t xml:space="preserve">efficacité; </w:t>
      </w:r>
      <w:r>
        <w:rPr>
          <w:rFonts w:asciiTheme="minorHAnsi" w:hAnsiTheme="minorHAnsi"/>
          <w:bCs/>
          <w:iCs/>
          <w:sz w:val="22"/>
          <w:lang w:val="fr-FR"/>
        </w:rPr>
        <w:t>efficience</w:t>
      </w:r>
      <w:r w:rsidRPr="004D0729">
        <w:rPr>
          <w:rFonts w:asciiTheme="minorHAnsi" w:hAnsiTheme="minorHAnsi"/>
          <w:bCs/>
          <w:iCs/>
          <w:sz w:val="22"/>
          <w:lang w:val="fr-FR"/>
        </w:rPr>
        <w:t xml:space="preserve">; faisabilité technique; </w:t>
      </w:r>
      <w:r>
        <w:rPr>
          <w:rFonts w:asciiTheme="minorHAnsi" w:hAnsiTheme="minorHAnsi"/>
          <w:bCs/>
          <w:iCs/>
          <w:sz w:val="22"/>
          <w:lang w:val="fr-FR"/>
        </w:rPr>
        <w:t>durabilité; équité/</w:t>
      </w:r>
      <w:r w:rsidRPr="004D0729">
        <w:rPr>
          <w:rFonts w:asciiTheme="minorHAnsi" w:hAnsiTheme="minorHAnsi"/>
          <w:bCs/>
          <w:iCs/>
          <w:sz w:val="22"/>
          <w:lang w:val="fr-FR"/>
        </w:rPr>
        <w:t xml:space="preserve">participation; reproductibilité et adaptabilité; sensibilité </w:t>
      </w:r>
      <w:r>
        <w:rPr>
          <w:rFonts w:asciiTheme="minorHAnsi" w:hAnsiTheme="minorHAnsi"/>
          <w:bCs/>
          <w:iCs/>
          <w:sz w:val="22"/>
          <w:lang w:val="fr-FR"/>
        </w:rPr>
        <w:t>a</w:t>
      </w:r>
      <w:r w:rsidR="008C5643">
        <w:rPr>
          <w:rFonts w:asciiTheme="minorHAnsi" w:hAnsiTheme="minorHAnsi"/>
          <w:bCs/>
          <w:iCs/>
          <w:sz w:val="22"/>
          <w:lang w:val="fr-FR"/>
        </w:rPr>
        <w:t>ux</w:t>
      </w:r>
      <w:r>
        <w:rPr>
          <w:rFonts w:asciiTheme="minorHAnsi" w:hAnsiTheme="minorHAnsi"/>
          <w:bCs/>
          <w:iCs/>
          <w:sz w:val="22"/>
          <w:lang w:val="fr-FR"/>
        </w:rPr>
        <w:t xml:space="preserve"> questions de genre</w:t>
      </w:r>
      <w:r w:rsidRPr="004D0729">
        <w:rPr>
          <w:rFonts w:asciiTheme="minorHAnsi" w:hAnsiTheme="minorHAnsi"/>
          <w:bCs/>
          <w:iCs/>
          <w:sz w:val="22"/>
          <w:lang w:val="fr-FR"/>
        </w:rPr>
        <w:t xml:space="preserve">. </w:t>
      </w:r>
      <w:r w:rsidRPr="004D0729">
        <w:rPr>
          <w:rFonts w:asciiTheme="minorHAnsi" w:hAnsiTheme="minorHAnsi"/>
          <w:b/>
          <w:iCs/>
          <w:sz w:val="22"/>
          <w:lang w:val="fr-FR"/>
        </w:rPr>
        <w:t>Faiblesses par rapport à certains des critères ne signifient pas que la pratique n’est pas pertinente</w:t>
      </w:r>
      <w:r>
        <w:rPr>
          <w:rFonts w:asciiTheme="minorHAnsi" w:hAnsiTheme="minorHAnsi"/>
          <w:bCs/>
          <w:iCs/>
          <w:sz w:val="22"/>
          <w:lang w:val="fr-FR"/>
        </w:rPr>
        <w:t>. La b</w:t>
      </w:r>
      <w:r w:rsidRPr="004D0729">
        <w:rPr>
          <w:rFonts w:asciiTheme="minorHAnsi" w:hAnsiTheme="minorHAnsi"/>
          <w:bCs/>
          <w:iCs/>
          <w:sz w:val="22"/>
          <w:lang w:val="fr-FR"/>
        </w:rPr>
        <w:t>onne performance sur certains de ces indicateurs, ainsi que les raisons pour lesquelles la pratique n</w:t>
      </w:r>
      <w:r w:rsidR="008C5643">
        <w:rPr>
          <w:rFonts w:asciiTheme="minorHAnsi" w:hAnsiTheme="minorHAnsi"/>
          <w:bCs/>
          <w:iCs/>
          <w:sz w:val="22"/>
          <w:lang w:val="fr-FR"/>
        </w:rPr>
        <w:t>’opère</w:t>
      </w:r>
      <w:r>
        <w:rPr>
          <w:rFonts w:asciiTheme="minorHAnsi" w:hAnsiTheme="minorHAnsi"/>
          <w:bCs/>
          <w:iCs/>
          <w:sz w:val="22"/>
          <w:lang w:val="fr-FR"/>
        </w:rPr>
        <w:t xml:space="preserve"> sur </w:t>
      </w:r>
      <w:r w:rsidRPr="004D0729">
        <w:rPr>
          <w:rFonts w:asciiTheme="minorHAnsi" w:hAnsiTheme="minorHAnsi"/>
          <w:bCs/>
          <w:iCs/>
          <w:sz w:val="22"/>
          <w:lang w:val="fr-FR"/>
        </w:rPr>
        <w:t>autres indicateurs, pourrait contribuer au processus d'apprentissage.</w:t>
      </w:r>
    </w:p>
    <w:p w14:paraId="23ADBD12" w14:textId="6EAB816E" w:rsidR="000813C4" w:rsidRPr="000813C4" w:rsidRDefault="000813C4" w:rsidP="001026A8">
      <w:pPr>
        <w:spacing w:before="120" w:after="60"/>
        <w:jc w:val="both"/>
        <w:rPr>
          <w:rFonts w:asciiTheme="minorHAnsi" w:hAnsiTheme="minorHAnsi"/>
          <w:bCs/>
          <w:iCs/>
          <w:sz w:val="22"/>
          <w:lang w:val="fr-FR"/>
        </w:rPr>
      </w:pPr>
      <w:r w:rsidRPr="001F4002">
        <w:rPr>
          <w:rFonts w:asciiTheme="minorHAnsi" w:hAnsiTheme="minorHAnsi"/>
          <w:b/>
          <w:bCs/>
          <w:i/>
          <w:iCs/>
          <w:color w:val="244061" w:themeColor="accent1" w:themeShade="80"/>
          <w:sz w:val="22"/>
          <w:lang w:val="fr-FR"/>
        </w:rPr>
        <w:lastRenderedPageBreak/>
        <w:t>Qui peut postuler?</w:t>
      </w:r>
      <w:r w:rsidRPr="000813C4">
        <w:rPr>
          <w:rFonts w:asciiTheme="minorHAnsi" w:hAnsiTheme="minorHAnsi"/>
          <w:bCs/>
          <w:iCs/>
          <w:sz w:val="22"/>
          <w:lang w:val="fr-FR"/>
        </w:rPr>
        <w:t xml:space="preserve"> L'appel est ouvert aux unités techniques de la FAO</w:t>
      </w:r>
      <w:r w:rsidR="001026A8">
        <w:rPr>
          <w:rFonts w:asciiTheme="minorHAnsi" w:hAnsiTheme="minorHAnsi"/>
          <w:bCs/>
          <w:iCs/>
          <w:sz w:val="22"/>
          <w:lang w:val="fr-FR"/>
        </w:rPr>
        <w:t>,</w:t>
      </w:r>
      <w:r w:rsidRPr="000813C4">
        <w:rPr>
          <w:rFonts w:asciiTheme="minorHAnsi" w:hAnsiTheme="minorHAnsi"/>
          <w:bCs/>
          <w:iCs/>
          <w:sz w:val="22"/>
          <w:lang w:val="fr-FR"/>
        </w:rPr>
        <w:t xml:space="preserve"> </w:t>
      </w:r>
      <w:r w:rsidR="008C5643">
        <w:rPr>
          <w:rFonts w:asciiTheme="minorHAnsi" w:hAnsiTheme="minorHAnsi"/>
          <w:bCs/>
          <w:iCs/>
          <w:sz w:val="22"/>
          <w:lang w:val="fr-FR"/>
        </w:rPr>
        <w:t>aux</w:t>
      </w:r>
      <w:r w:rsidR="008C5643" w:rsidRPr="000813C4">
        <w:rPr>
          <w:rFonts w:asciiTheme="minorHAnsi" w:hAnsiTheme="minorHAnsi"/>
          <w:bCs/>
          <w:iCs/>
          <w:sz w:val="22"/>
          <w:lang w:val="fr-FR"/>
        </w:rPr>
        <w:t xml:space="preserve"> </w:t>
      </w:r>
      <w:r w:rsidRPr="000813C4">
        <w:rPr>
          <w:rFonts w:asciiTheme="minorHAnsi" w:hAnsiTheme="minorHAnsi"/>
          <w:bCs/>
          <w:iCs/>
          <w:sz w:val="22"/>
          <w:lang w:val="fr-FR"/>
        </w:rPr>
        <w:t>bureaux décentralisés</w:t>
      </w:r>
      <w:r w:rsidR="001026A8">
        <w:rPr>
          <w:rFonts w:asciiTheme="minorHAnsi" w:hAnsiTheme="minorHAnsi"/>
          <w:bCs/>
          <w:iCs/>
          <w:sz w:val="22"/>
          <w:lang w:val="fr-FR"/>
        </w:rPr>
        <w:t xml:space="preserve"> et d’autres partenaires de développement</w:t>
      </w:r>
      <w:r w:rsidRPr="000813C4">
        <w:rPr>
          <w:rFonts w:asciiTheme="minorHAnsi" w:hAnsiTheme="minorHAnsi"/>
          <w:bCs/>
          <w:iCs/>
          <w:sz w:val="22"/>
          <w:lang w:val="fr-FR"/>
        </w:rPr>
        <w:t xml:space="preserve">. </w:t>
      </w:r>
      <w:r w:rsidR="001026A8" w:rsidRPr="000813C4">
        <w:rPr>
          <w:rFonts w:asciiTheme="minorHAnsi" w:hAnsiTheme="minorHAnsi"/>
          <w:bCs/>
          <w:iCs/>
          <w:sz w:val="22"/>
          <w:lang w:val="fr-FR"/>
        </w:rPr>
        <w:t>Les partenaires d</w:t>
      </w:r>
      <w:r w:rsidR="001026A8">
        <w:rPr>
          <w:rFonts w:asciiTheme="minorHAnsi" w:hAnsiTheme="minorHAnsi"/>
          <w:bCs/>
          <w:iCs/>
          <w:sz w:val="22"/>
          <w:lang w:val="fr-FR"/>
        </w:rPr>
        <w:t>u</w:t>
      </w:r>
      <w:r w:rsidR="001026A8" w:rsidRPr="000813C4">
        <w:rPr>
          <w:rFonts w:asciiTheme="minorHAnsi" w:hAnsiTheme="minorHAnsi"/>
          <w:bCs/>
          <w:iCs/>
          <w:sz w:val="22"/>
          <w:lang w:val="fr-FR"/>
        </w:rPr>
        <w:t xml:space="preserve"> développement peuvent être: </w:t>
      </w:r>
      <w:proofErr w:type="spellStart"/>
      <w:r w:rsidR="001026A8">
        <w:rPr>
          <w:rFonts w:asciiTheme="minorHAnsi" w:hAnsiTheme="minorHAnsi"/>
          <w:bCs/>
          <w:iCs/>
          <w:sz w:val="22"/>
          <w:lang w:val="fr-FR"/>
        </w:rPr>
        <w:t>ORs</w:t>
      </w:r>
      <w:proofErr w:type="spellEnd"/>
      <w:r w:rsidR="001026A8" w:rsidRPr="000813C4">
        <w:rPr>
          <w:rFonts w:asciiTheme="minorHAnsi" w:hAnsiTheme="minorHAnsi"/>
          <w:bCs/>
          <w:iCs/>
          <w:sz w:val="22"/>
          <w:lang w:val="fr-FR"/>
        </w:rPr>
        <w:t xml:space="preserve">, d'autres organismes internationaux (par exemple, le PAM, l'UNICEF, le FIDA, l'OIT, la Banque mondiale, l'UE et de l'UNRISD), les ONG, les organismes de </w:t>
      </w:r>
      <w:r w:rsidR="001026A8">
        <w:rPr>
          <w:rFonts w:asciiTheme="minorHAnsi" w:hAnsiTheme="minorHAnsi"/>
          <w:bCs/>
          <w:iCs/>
          <w:sz w:val="22"/>
          <w:lang w:val="fr-FR"/>
        </w:rPr>
        <w:t>charité</w:t>
      </w:r>
      <w:r w:rsidR="001026A8" w:rsidRPr="000813C4">
        <w:rPr>
          <w:rFonts w:asciiTheme="minorHAnsi" w:hAnsiTheme="minorHAnsi"/>
          <w:bCs/>
          <w:iCs/>
          <w:sz w:val="22"/>
          <w:lang w:val="fr-FR"/>
        </w:rPr>
        <w:t>, les organismes gouvernementaux, les administrations locales et les autres parties prenantes concernées.</w:t>
      </w:r>
      <w:r w:rsidR="001026A8">
        <w:rPr>
          <w:rFonts w:asciiTheme="minorHAnsi" w:hAnsiTheme="minorHAnsi"/>
          <w:bCs/>
          <w:iCs/>
          <w:sz w:val="22"/>
          <w:lang w:val="fr-FR"/>
        </w:rPr>
        <w:t xml:space="preserve"> </w:t>
      </w:r>
      <w:r w:rsidRPr="000813C4">
        <w:rPr>
          <w:rFonts w:asciiTheme="minorHAnsi" w:hAnsiTheme="minorHAnsi"/>
          <w:bCs/>
          <w:iCs/>
          <w:sz w:val="22"/>
          <w:lang w:val="fr-FR"/>
        </w:rPr>
        <w:t>Vous êtes également cordialement invités à signaler toutes les autres expériences que vous jugez pertinent</w:t>
      </w:r>
      <w:r w:rsidR="008C5643">
        <w:rPr>
          <w:rFonts w:asciiTheme="minorHAnsi" w:hAnsiTheme="minorHAnsi"/>
          <w:bCs/>
          <w:iCs/>
          <w:sz w:val="22"/>
          <w:lang w:val="fr-FR"/>
        </w:rPr>
        <w:t>e</w:t>
      </w:r>
      <w:r w:rsidRPr="000813C4">
        <w:rPr>
          <w:rFonts w:asciiTheme="minorHAnsi" w:hAnsiTheme="minorHAnsi"/>
          <w:bCs/>
          <w:iCs/>
          <w:sz w:val="22"/>
          <w:lang w:val="fr-FR"/>
        </w:rPr>
        <w:t xml:space="preserve">s pour cette étude, qui sont effectuées par vos partenaires et d'autres organisations locales. </w:t>
      </w:r>
      <w:bookmarkStart w:id="0" w:name="_GoBack"/>
      <w:bookmarkEnd w:id="0"/>
    </w:p>
    <w:p w14:paraId="5B3B26FE" w14:textId="77777777" w:rsidR="000813C4" w:rsidRPr="000813C4" w:rsidRDefault="000813C4" w:rsidP="000813C4">
      <w:pPr>
        <w:spacing w:before="120" w:after="60"/>
        <w:jc w:val="both"/>
        <w:rPr>
          <w:rFonts w:asciiTheme="minorHAnsi" w:hAnsiTheme="minorHAnsi"/>
          <w:bCs/>
          <w:iCs/>
          <w:sz w:val="22"/>
          <w:lang w:val="fr-FR"/>
        </w:rPr>
      </w:pPr>
      <w:r w:rsidRPr="000813C4">
        <w:rPr>
          <w:rFonts w:asciiTheme="minorHAnsi" w:hAnsiTheme="minorHAnsi"/>
          <w:bCs/>
          <w:iCs/>
          <w:sz w:val="22"/>
          <w:lang w:val="fr-FR"/>
        </w:rPr>
        <w:t>Les bonnes pratiques peuvent être soumises en anglais, français et espagnol.</w:t>
      </w:r>
    </w:p>
    <w:p w14:paraId="6C04DC43" w14:textId="2F330AE7" w:rsidR="00CB0A8E" w:rsidRPr="000813C4" w:rsidRDefault="000813C4" w:rsidP="000813C4">
      <w:pPr>
        <w:spacing w:before="120" w:after="60"/>
        <w:jc w:val="both"/>
        <w:rPr>
          <w:rFonts w:asciiTheme="minorHAnsi" w:hAnsiTheme="minorHAnsi"/>
          <w:b/>
          <w:iCs/>
          <w:sz w:val="22"/>
          <w:lang w:val="fr-FR"/>
        </w:rPr>
      </w:pPr>
      <w:r w:rsidRPr="000813C4">
        <w:rPr>
          <w:rFonts w:asciiTheme="minorHAnsi" w:hAnsiTheme="minorHAnsi"/>
          <w:b/>
          <w:iCs/>
          <w:sz w:val="22"/>
          <w:lang w:val="fr-FR"/>
        </w:rPr>
        <w:t xml:space="preserve">NB: </w:t>
      </w:r>
      <w:r w:rsidR="008C5643">
        <w:rPr>
          <w:rFonts w:asciiTheme="minorHAnsi" w:hAnsiTheme="minorHAnsi"/>
          <w:b/>
          <w:iCs/>
          <w:sz w:val="22"/>
          <w:lang w:val="fr-FR"/>
        </w:rPr>
        <w:t xml:space="preserve">Veuillez </w:t>
      </w:r>
      <w:r w:rsidRPr="000813C4">
        <w:rPr>
          <w:rFonts w:asciiTheme="minorHAnsi" w:hAnsiTheme="minorHAnsi"/>
          <w:b/>
          <w:iCs/>
          <w:sz w:val="22"/>
          <w:lang w:val="fr-FR"/>
        </w:rPr>
        <w:t>utiliser des feuilles séparées (annexe A ou B) si vous souhaitez décrire plus d'une pratique collective de PS ou des mécanismes participatifs.</w:t>
      </w:r>
    </w:p>
    <w:p w14:paraId="666E972C" w14:textId="0D551099" w:rsidR="0067537A" w:rsidRPr="001F4002" w:rsidRDefault="0067537A" w:rsidP="00226729">
      <w:pPr>
        <w:rPr>
          <w:rFonts w:asciiTheme="minorHAnsi" w:hAnsiTheme="minorHAnsi"/>
          <w:b/>
          <w:bCs/>
          <w:color w:val="244061" w:themeColor="accent1" w:themeShade="80"/>
          <w:sz w:val="22"/>
          <w:lang w:val="fr-FR"/>
        </w:rPr>
      </w:pPr>
    </w:p>
    <w:sectPr w:rsidR="0067537A" w:rsidRPr="001F4002" w:rsidSect="009C087B">
      <w:headerReference w:type="default" r:id="rId11"/>
      <w:footerReference w:type="default" r:id="rId12"/>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3188C" w14:textId="77777777" w:rsidR="00F97682" w:rsidRDefault="00F97682" w:rsidP="006E0872">
      <w:pPr>
        <w:spacing w:after="0" w:line="240" w:lineRule="auto"/>
      </w:pPr>
      <w:r>
        <w:separator/>
      </w:r>
    </w:p>
  </w:endnote>
  <w:endnote w:type="continuationSeparator" w:id="0">
    <w:p w14:paraId="3701EA58" w14:textId="77777777" w:rsidR="00F97682" w:rsidRDefault="00F97682" w:rsidP="006E0872">
      <w:pPr>
        <w:spacing w:after="0" w:line="240" w:lineRule="auto"/>
      </w:pPr>
      <w:r>
        <w:continuationSeparator/>
      </w:r>
    </w:p>
  </w:endnote>
  <w:endnote w:type="continuationNotice" w:id="1">
    <w:p w14:paraId="7ECCF1CD" w14:textId="77777777" w:rsidR="00F97682" w:rsidRDefault="00F976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F87DF" w14:textId="77777777" w:rsidR="0080688F" w:rsidRDefault="00806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CED9F" w14:textId="77777777" w:rsidR="00F97682" w:rsidRDefault="00F97682" w:rsidP="006E0872">
      <w:pPr>
        <w:spacing w:after="0" w:line="240" w:lineRule="auto"/>
      </w:pPr>
      <w:r>
        <w:separator/>
      </w:r>
    </w:p>
  </w:footnote>
  <w:footnote w:type="continuationSeparator" w:id="0">
    <w:p w14:paraId="5E27E84F" w14:textId="77777777" w:rsidR="00F97682" w:rsidRDefault="00F97682" w:rsidP="006E0872">
      <w:pPr>
        <w:spacing w:after="0" w:line="240" w:lineRule="auto"/>
      </w:pPr>
      <w:r>
        <w:continuationSeparator/>
      </w:r>
    </w:p>
  </w:footnote>
  <w:footnote w:type="continuationNotice" w:id="1">
    <w:p w14:paraId="19D94C2B" w14:textId="77777777" w:rsidR="00F97682" w:rsidRDefault="00F97682">
      <w:pPr>
        <w:spacing w:after="0" w:line="240" w:lineRule="auto"/>
      </w:pPr>
    </w:p>
  </w:footnote>
  <w:footnote w:id="2">
    <w:p w14:paraId="533BC06E" w14:textId="77777777" w:rsidR="002F4D86" w:rsidRPr="001922B4" w:rsidRDefault="002F4D86" w:rsidP="002F4D86">
      <w:pPr>
        <w:pStyle w:val="EndnoteText"/>
        <w:rPr>
          <w:rFonts w:asciiTheme="minorHAnsi" w:hAnsiTheme="minorHAnsi"/>
          <w:sz w:val="18"/>
          <w:szCs w:val="18"/>
        </w:rPr>
      </w:pPr>
      <w:r w:rsidRPr="001922B4">
        <w:rPr>
          <w:rStyle w:val="FootnoteReference"/>
          <w:rFonts w:asciiTheme="minorHAnsi" w:hAnsiTheme="minorHAnsi"/>
          <w:sz w:val="18"/>
          <w:szCs w:val="18"/>
        </w:rPr>
        <w:footnoteRef/>
      </w:r>
      <w:r w:rsidRPr="001922B4">
        <w:rPr>
          <w:rFonts w:asciiTheme="minorHAnsi" w:hAnsiTheme="minorHAnsi"/>
          <w:sz w:val="18"/>
          <w:szCs w:val="18"/>
        </w:rPr>
        <w:t xml:space="preserve"> </w:t>
      </w:r>
      <w:proofErr w:type="gramStart"/>
      <w:r w:rsidRPr="001922B4">
        <w:rPr>
          <w:rFonts w:asciiTheme="minorHAnsi" w:hAnsiTheme="minorHAnsi"/>
          <w:sz w:val="18"/>
          <w:szCs w:val="18"/>
        </w:rPr>
        <w:t>HLPE, 2012.</w:t>
      </w:r>
      <w:proofErr w:type="gramEnd"/>
      <w:r w:rsidRPr="001922B4">
        <w:rPr>
          <w:rFonts w:asciiTheme="minorHAnsi" w:hAnsiTheme="minorHAnsi"/>
          <w:sz w:val="18"/>
          <w:szCs w:val="18"/>
        </w:rPr>
        <w:t xml:space="preserve"> </w:t>
      </w:r>
      <w:proofErr w:type="gramStart"/>
      <w:r w:rsidRPr="001922B4">
        <w:rPr>
          <w:rFonts w:asciiTheme="minorHAnsi" w:hAnsiTheme="minorHAnsi"/>
          <w:i/>
          <w:sz w:val="18"/>
          <w:szCs w:val="18"/>
        </w:rPr>
        <w:t>Social protection for food security.</w:t>
      </w:r>
      <w:proofErr w:type="gramEnd"/>
      <w:r w:rsidRPr="001922B4">
        <w:rPr>
          <w:rFonts w:asciiTheme="minorHAnsi" w:hAnsiTheme="minorHAnsi"/>
          <w:i/>
          <w:sz w:val="18"/>
          <w:szCs w:val="18"/>
        </w:rPr>
        <w:t xml:space="preserve"> </w:t>
      </w:r>
      <w:proofErr w:type="gramStart"/>
      <w:r w:rsidRPr="001922B4">
        <w:rPr>
          <w:rFonts w:asciiTheme="minorHAnsi" w:hAnsiTheme="minorHAnsi"/>
          <w:i/>
          <w:sz w:val="18"/>
          <w:szCs w:val="18"/>
        </w:rPr>
        <w:t>A report by the High Level Panel of Experts on Food Security and Nutrition of the Committee on World Food Security</w:t>
      </w:r>
      <w:r w:rsidRPr="001922B4">
        <w:rPr>
          <w:rFonts w:asciiTheme="minorHAnsi" w:hAnsiTheme="minorHAnsi"/>
          <w:sz w:val="18"/>
          <w:szCs w:val="18"/>
        </w:rPr>
        <w:t>.</w:t>
      </w:r>
      <w:proofErr w:type="gramEnd"/>
      <w:r w:rsidRPr="001922B4">
        <w:rPr>
          <w:rFonts w:asciiTheme="minorHAnsi" w:hAnsiTheme="minorHAnsi"/>
          <w:sz w:val="18"/>
          <w:szCs w:val="18"/>
        </w:rPr>
        <w:t xml:space="preserve"> Rome: HLPE.</w:t>
      </w:r>
    </w:p>
  </w:footnote>
  <w:footnote w:id="3">
    <w:p w14:paraId="5AFFD88C" w14:textId="12842EAA" w:rsidR="002F4D86" w:rsidRPr="00F734C6" w:rsidRDefault="002F4D86" w:rsidP="00144A6A">
      <w:pPr>
        <w:pStyle w:val="EndnoteText"/>
      </w:pPr>
      <w:r w:rsidRPr="00937BA6">
        <w:rPr>
          <w:rFonts w:asciiTheme="minorHAnsi" w:hAnsiTheme="minorHAnsi"/>
          <w:sz w:val="18"/>
          <w:szCs w:val="18"/>
          <w:vertAlign w:val="superscript"/>
        </w:rPr>
        <w:footnoteRef/>
      </w:r>
      <w:r w:rsidRPr="00F734C6">
        <w:rPr>
          <w:rFonts w:asciiTheme="minorHAnsi" w:hAnsiTheme="minorHAnsi"/>
          <w:sz w:val="18"/>
          <w:szCs w:val="18"/>
        </w:rPr>
        <w:t xml:space="preserve"> </w:t>
      </w:r>
      <w:proofErr w:type="gramStart"/>
      <w:r w:rsidR="00144A6A" w:rsidRPr="00F734C6">
        <w:rPr>
          <w:rFonts w:asciiTheme="minorHAnsi" w:hAnsiTheme="minorHAnsi"/>
          <w:sz w:val="18"/>
          <w:szCs w:val="18"/>
        </w:rPr>
        <w:t xml:space="preserve">Conventions de ILO </w:t>
      </w:r>
      <w:r w:rsidRPr="00F734C6">
        <w:rPr>
          <w:rFonts w:asciiTheme="minorHAnsi" w:hAnsiTheme="minorHAnsi"/>
          <w:sz w:val="18"/>
          <w:szCs w:val="18"/>
        </w:rPr>
        <w:t>No. 102 and 128.</w:t>
      </w:r>
      <w:proofErr w:type="gramEnd"/>
    </w:p>
  </w:footnote>
  <w:footnote w:id="4">
    <w:p w14:paraId="21F5650C" w14:textId="77777777" w:rsidR="00144A6A" w:rsidRPr="00C04DE2" w:rsidRDefault="00144A6A" w:rsidP="00144A6A">
      <w:pPr>
        <w:pStyle w:val="FootnoteText"/>
        <w:rPr>
          <w:rFonts w:asciiTheme="minorHAnsi" w:hAnsiTheme="minorHAnsi"/>
          <w:color w:val="FF0000"/>
          <w:sz w:val="18"/>
          <w:szCs w:val="18"/>
        </w:rPr>
      </w:pPr>
      <w:r w:rsidRPr="00937BA6">
        <w:rPr>
          <w:rStyle w:val="FootnoteReference"/>
          <w:rFonts w:asciiTheme="minorHAnsi" w:hAnsiTheme="minorHAnsi"/>
          <w:sz w:val="18"/>
          <w:szCs w:val="18"/>
        </w:rPr>
        <w:footnoteRef/>
      </w:r>
      <w:r w:rsidRPr="00937BA6">
        <w:rPr>
          <w:rFonts w:asciiTheme="minorHAnsi" w:hAnsiTheme="minorHAnsi"/>
          <w:sz w:val="18"/>
          <w:szCs w:val="18"/>
        </w:rPr>
        <w:t xml:space="preserve"> </w:t>
      </w:r>
      <w:proofErr w:type="gramStart"/>
      <w:r w:rsidRPr="00CA2C8D">
        <w:rPr>
          <w:rFonts w:asciiTheme="minorHAnsi" w:hAnsiTheme="minorHAnsi"/>
          <w:sz w:val="18"/>
          <w:szCs w:val="18"/>
          <w:lang w:val="en-US"/>
        </w:rPr>
        <w:t>FAO, 2013b.</w:t>
      </w:r>
      <w:proofErr w:type="gramEnd"/>
      <w:r w:rsidRPr="00CA2C8D">
        <w:rPr>
          <w:rFonts w:asciiTheme="minorHAnsi" w:hAnsiTheme="minorHAnsi"/>
          <w:sz w:val="18"/>
          <w:szCs w:val="18"/>
          <w:lang w:val="en-US"/>
        </w:rPr>
        <w:t xml:space="preserve"> </w:t>
      </w:r>
      <w:proofErr w:type="gramStart"/>
      <w:r w:rsidRPr="00CA2C8D">
        <w:rPr>
          <w:rFonts w:asciiTheme="minorHAnsi" w:hAnsiTheme="minorHAnsi"/>
          <w:sz w:val="18"/>
          <w:szCs w:val="18"/>
          <w:lang w:val="en-US"/>
        </w:rPr>
        <w:t>FAO’s Work in Social Protection.</w:t>
      </w:r>
      <w:proofErr w:type="gramEnd"/>
      <w:r w:rsidRPr="00CA2C8D">
        <w:rPr>
          <w:rFonts w:asciiTheme="minorHAnsi" w:hAnsiTheme="minorHAnsi"/>
          <w:sz w:val="18"/>
          <w:szCs w:val="18"/>
          <w:lang w:val="en-US"/>
        </w:rPr>
        <w:t xml:space="preserve"> Note endorsed by the 148th Session of the FAO Council (2-6 December 2013). </w:t>
      </w:r>
      <w:r w:rsidRPr="00C04DE2">
        <w:rPr>
          <w:rFonts w:asciiTheme="minorHAnsi" w:hAnsiTheme="minorHAnsi"/>
          <w:sz w:val="18"/>
          <w:szCs w:val="18"/>
        </w:rPr>
        <w:t>Rome: FAO.</w:t>
      </w:r>
    </w:p>
  </w:footnote>
  <w:footnote w:id="5">
    <w:p w14:paraId="44922E7D" w14:textId="77777777" w:rsidR="00C04DE2" w:rsidRPr="00EE75D6" w:rsidRDefault="00C04DE2" w:rsidP="00C04DE2">
      <w:pPr>
        <w:pStyle w:val="FootnoteText"/>
        <w:rPr>
          <w:lang w:val="en-US"/>
        </w:rPr>
      </w:pPr>
      <w:r>
        <w:rPr>
          <w:rStyle w:val="FootnoteReference"/>
        </w:rPr>
        <w:footnoteRef/>
      </w:r>
      <w:r>
        <w:t xml:space="preserve"> </w:t>
      </w:r>
      <w:proofErr w:type="gramStart"/>
      <w:r w:rsidRPr="005B14D1">
        <w:rPr>
          <w:rFonts w:asciiTheme="minorHAnsi" w:hAnsiTheme="minorHAnsi"/>
          <w:sz w:val="18"/>
          <w:szCs w:val="18"/>
        </w:rPr>
        <w:t>ICMIF, 2012.</w:t>
      </w:r>
      <w:proofErr w:type="gramEnd"/>
      <w:r w:rsidRPr="005B14D1">
        <w:rPr>
          <w:rFonts w:asciiTheme="minorHAnsi" w:hAnsiTheme="minorHAnsi"/>
          <w:sz w:val="18"/>
          <w:szCs w:val="18"/>
        </w:rPr>
        <w:t xml:space="preserve"> </w:t>
      </w:r>
      <w:proofErr w:type="gramStart"/>
      <w:r w:rsidRPr="005B14D1">
        <w:rPr>
          <w:rFonts w:asciiTheme="minorHAnsi" w:hAnsiTheme="minorHAnsi"/>
          <w:sz w:val="18"/>
          <w:szCs w:val="18"/>
        </w:rPr>
        <w:t>Sowing the seeds of mutual protection.</w:t>
      </w:r>
      <w:proofErr w:type="gramEnd"/>
      <w:r w:rsidRPr="005B14D1">
        <w:rPr>
          <w:rFonts w:asciiTheme="minorHAnsi" w:hAnsiTheme="minorHAnsi"/>
          <w:sz w:val="18"/>
          <w:szCs w:val="18"/>
        </w:rPr>
        <w:t xml:space="preserve"> </w:t>
      </w:r>
      <w:r w:rsidRPr="00EE75D6">
        <w:rPr>
          <w:rFonts w:asciiTheme="minorHAnsi" w:hAnsiTheme="minorHAnsi"/>
          <w:i/>
          <w:sz w:val="18"/>
          <w:szCs w:val="18"/>
          <w:lang w:val="en-US"/>
        </w:rPr>
        <w:t>The ICMIF development magazine</w:t>
      </w:r>
      <w:r w:rsidRPr="00EE75D6">
        <w:rPr>
          <w:rFonts w:asciiTheme="minorHAnsi" w:hAnsiTheme="minorHAnsi"/>
          <w:sz w:val="18"/>
          <w:szCs w:val="18"/>
          <w:lang w:val="en-US"/>
        </w:rPr>
        <w:t>, 10, p.1-38.</w:t>
      </w:r>
    </w:p>
  </w:footnote>
  <w:footnote w:id="6">
    <w:p w14:paraId="7DCBEA61" w14:textId="7FD90E1A" w:rsidR="0080688F" w:rsidRPr="001F4002" w:rsidRDefault="0080688F" w:rsidP="006A0464">
      <w:pPr>
        <w:pStyle w:val="FootnoteText"/>
        <w:rPr>
          <w:rFonts w:asciiTheme="minorHAnsi" w:hAnsiTheme="minorHAnsi"/>
          <w:sz w:val="18"/>
          <w:szCs w:val="18"/>
          <w:lang w:val="fr-FR"/>
        </w:rPr>
      </w:pPr>
      <w:r w:rsidRPr="00937BA6">
        <w:rPr>
          <w:rStyle w:val="FootnoteReference"/>
          <w:rFonts w:asciiTheme="minorHAnsi" w:hAnsiTheme="minorHAnsi"/>
          <w:sz w:val="18"/>
          <w:szCs w:val="18"/>
        </w:rPr>
        <w:footnoteRef/>
      </w:r>
      <w:r w:rsidRPr="006A0464">
        <w:rPr>
          <w:rFonts w:asciiTheme="minorHAnsi" w:hAnsiTheme="minorHAnsi"/>
          <w:sz w:val="18"/>
          <w:szCs w:val="18"/>
          <w:lang w:val="fr-FR"/>
        </w:rPr>
        <w:t xml:space="preserve"> </w:t>
      </w:r>
      <w:r w:rsidR="006A0464" w:rsidRPr="006A0464">
        <w:rPr>
          <w:rFonts w:asciiTheme="minorHAnsi" w:hAnsiTheme="minorHAnsi"/>
          <w:sz w:val="18"/>
          <w:szCs w:val="18"/>
          <w:lang w:val="fr-FR"/>
        </w:rPr>
        <w:t>Pour plus d’informations</w:t>
      </w:r>
      <w:r w:rsidRPr="006A0464">
        <w:rPr>
          <w:rFonts w:asciiTheme="minorHAnsi" w:hAnsiTheme="minorHAnsi"/>
          <w:sz w:val="18"/>
          <w:szCs w:val="18"/>
          <w:lang w:val="fr-FR"/>
        </w:rPr>
        <w:t xml:space="preserve">: i) </w:t>
      </w:r>
      <w:r w:rsidR="00937BA6" w:rsidRPr="006A0464">
        <w:rPr>
          <w:rFonts w:asciiTheme="minorHAnsi" w:hAnsiTheme="minorHAnsi"/>
          <w:sz w:val="18"/>
          <w:szCs w:val="18"/>
          <w:lang w:val="fr-FR"/>
        </w:rPr>
        <w:t xml:space="preserve">Vinci, I. et al, 2014. </w:t>
      </w:r>
      <w:proofErr w:type="gramStart"/>
      <w:r w:rsidR="00937BA6" w:rsidRPr="00937BA6">
        <w:rPr>
          <w:rFonts w:asciiTheme="minorHAnsi" w:hAnsiTheme="minorHAnsi"/>
          <w:sz w:val="18"/>
          <w:szCs w:val="18"/>
        </w:rPr>
        <w:t>Local solutions to social protection - The role of rural organisa</w:t>
      </w:r>
      <w:r w:rsidR="006A0464">
        <w:rPr>
          <w:rFonts w:asciiTheme="minorHAnsi" w:hAnsiTheme="minorHAnsi"/>
          <w:sz w:val="18"/>
          <w:szCs w:val="18"/>
        </w:rPr>
        <w:t>tions.</w:t>
      </w:r>
      <w:proofErr w:type="gramEnd"/>
      <w:r w:rsidR="006A0464">
        <w:rPr>
          <w:rFonts w:asciiTheme="minorHAnsi" w:hAnsiTheme="minorHAnsi"/>
          <w:sz w:val="18"/>
          <w:szCs w:val="18"/>
        </w:rPr>
        <w:t xml:space="preserve"> </w:t>
      </w:r>
      <w:proofErr w:type="spellStart"/>
      <w:proofErr w:type="gramStart"/>
      <w:r w:rsidR="006A0464">
        <w:rPr>
          <w:rFonts w:asciiTheme="minorHAnsi" w:hAnsiTheme="minorHAnsi"/>
          <w:sz w:val="18"/>
          <w:szCs w:val="18"/>
        </w:rPr>
        <w:t>Universitas</w:t>
      </w:r>
      <w:proofErr w:type="spellEnd"/>
      <w:r w:rsidR="006A0464">
        <w:rPr>
          <w:rFonts w:asciiTheme="minorHAnsi" w:hAnsiTheme="minorHAnsi"/>
          <w:sz w:val="18"/>
          <w:szCs w:val="18"/>
        </w:rPr>
        <w:t xml:space="preserve"> Forum, 4 (1)</w:t>
      </w:r>
      <w:r w:rsidRPr="00937BA6">
        <w:rPr>
          <w:rFonts w:asciiTheme="minorHAnsi" w:hAnsiTheme="minorHAnsi"/>
          <w:sz w:val="18"/>
          <w:szCs w:val="18"/>
        </w:rPr>
        <w:t xml:space="preserve">; and ii) Bernier, Q. &amp; </w:t>
      </w:r>
      <w:proofErr w:type="spellStart"/>
      <w:r w:rsidRPr="00937BA6">
        <w:rPr>
          <w:rFonts w:asciiTheme="minorHAnsi" w:hAnsiTheme="minorHAnsi"/>
          <w:sz w:val="18"/>
          <w:szCs w:val="18"/>
        </w:rPr>
        <w:t>Meinzen</w:t>
      </w:r>
      <w:proofErr w:type="spellEnd"/>
      <w:r w:rsidRPr="00937BA6">
        <w:rPr>
          <w:rFonts w:asciiTheme="minorHAnsi" w:hAnsiTheme="minorHAnsi"/>
          <w:sz w:val="18"/>
          <w:szCs w:val="18"/>
        </w:rPr>
        <w:t>-Dick, R., 2014.</w:t>
      </w:r>
      <w:proofErr w:type="gramEnd"/>
      <w:r w:rsidRPr="00937BA6">
        <w:rPr>
          <w:rFonts w:asciiTheme="minorHAnsi" w:hAnsiTheme="minorHAnsi"/>
          <w:sz w:val="18"/>
          <w:szCs w:val="18"/>
        </w:rPr>
        <w:t xml:space="preserve"> </w:t>
      </w:r>
      <w:proofErr w:type="gramStart"/>
      <w:r w:rsidRPr="00937BA6">
        <w:rPr>
          <w:rFonts w:asciiTheme="minorHAnsi" w:hAnsiTheme="minorHAnsi"/>
          <w:sz w:val="18"/>
          <w:szCs w:val="18"/>
        </w:rPr>
        <w:t>Networks for Resilience - The Role of Social Capital.</w:t>
      </w:r>
      <w:proofErr w:type="gramEnd"/>
      <w:r w:rsidRPr="00937BA6">
        <w:rPr>
          <w:rFonts w:asciiTheme="minorHAnsi" w:hAnsiTheme="minorHAnsi"/>
          <w:sz w:val="18"/>
          <w:szCs w:val="18"/>
        </w:rPr>
        <w:t xml:space="preserve"> </w:t>
      </w:r>
      <w:r w:rsidRPr="001F4002">
        <w:rPr>
          <w:rFonts w:asciiTheme="minorHAnsi" w:hAnsiTheme="minorHAnsi"/>
          <w:sz w:val="18"/>
          <w:szCs w:val="18"/>
          <w:lang w:val="fr-FR"/>
        </w:rPr>
        <w:t>Washington: IFPRI. (Bernier &amp; Meinzen-Dick, 2014).</w:t>
      </w:r>
    </w:p>
  </w:footnote>
  <w:footnote w:id="7">
    <w:p w14:paraId="5AEA8A87" w14:textId="5FEAEEA6" w:rsidR="007A058A" w:rsidRPr="005B14D1" w:rsidRDefault="007A058A" w:rsidP="007A058A">
      <w:pPr>
        <w:pStyle w:val="FootnoteText"/>
        <w:jc w:val="both"/>
        <w:rPr>
          <w:rFonts w:asciiTheme="minorHAnsi" w:hAnsiTheme="minorHAnsi"/>
          <w:sz w:val="18"/>
          <w:szCs w:val="18"/>
          <w:lang w:val="en-US"/>
        </w:rPr>
      </w:pPr>
      <w:r w:rsidRPr="005B14D1">
        <w:rPr>
          <w:rFonts w:asciiTheme="minorHAnsi" w:hAnsiTheme="minorHAnsi"/>
          <w:bCs/>
          <w:sz w:val="18"/>
          <w:szCs w:val="18"/>
          <w:vertAlign w:val="superscript"/>
        </w:rPr>
        <w:footnoteRef/>
      </w:r>
      <w:r w:rsidRPr="007A058A">
        <w:rPr>
          <w:rFonts w:asciiTheme="minorHAnsi" w:hAnsiTheme="minorHAnsi"/>
          <w:bCs/>
          <w:sz w:val="18"/>
          <w:szCs w:val="18"/>
          <w:lang w:val="fr-FR"/>
        </w:rPr>
        <w:t xml:space="preserve"> Les annexes sont </w:t>
      </w:r>
      <w:r>
        <w:rPr>
          <w:rFonts w:asciiTheme="minorHAnsi" w:hAnsiTheme="minorHAnsi"/>
          <w:bCs/>
          <w:sz w:val="18"/>
          <w:szCs w:val="18"/>
          <w:lang w:val="fr-FR"/>
        </w:rPr>
        <w:t xml:space="preserve">adaptées du modèle: </w:t>
      </w:r>
      <w:r w:rsidRPr="007A058A">
        <w:rPr>
          <w:rFonts w:asciiTheme="minorHAnsi" w:hAnsiTheme="minorHAnsi"/>
          <w:bCs/>
          <w:sz w:val="18"/>
          <w:szCs w:val="18"/>
          <w:lang w:val="fr-FR"/>
        </w:rPr>
        <w:t xml:space="preserve">FAO. 2014. </w:t>
      </w:r>
      <w:r w:rsidRPr="005B14D1">
        <w:rPr>
          <w:rFonts w:asciiTheme="minorHAnsi" w:hAnsiTheme="minorHAnsi"/>
          <w:bCs/>
          <w:sz w:val="18"/>
          <w:szCs w:val="18"/>
        </w:rPr>
        <w:t xml:space="preserve">Good practices template. </w:t>
      </w:r>
      <w:proofErr w:type="gramStart"/>
      <w:r w:rsidRPr="005B14D1">
        <w:rPr>
          <w:rFonts w:asciiTheme="minorHAnsi" w:hAnsiTheme="minorHAnsi"/>
          <w:bCs/>
          <w:sz w:val="18"/>
          <w:szCs w:val="18"/>
        </w:rPr>
        <w:t xml:space="preserve">5 pp. (also available at </w:t>
      </w:r>
      <w:hyperlink r:id="rId1" w:history="1">
        <w:r w:rsidRPr="005B14D1">
          <w:rPr>
            <w:rStyle w:val="Hyperlink"/>
            <w:rFonts w:asciiTheme="minorHAnsi" w:hAnsiTheme="minorHAnsi"/>
            <w:bCs/>
            <w:sz w:val="18"/>
            <w:szCs w:val="18"/>
          </w:rPr>
          <w:t>www.fao.org/3/a-as547e.pdf</w:t>
        </w:r>
      </w:hyperlink>
      <w:r w:rsidRPr="005B14D1">
        <w:rPr>
          <w:rFonts w:asciiTheme="minorHAnsi" w:hAnsiTheme="minorHAnsi"/>
          <w:bCs/>
          <w:sz w:val="18"/>
          <w:szCs w:val="18"/>
        </w:rPr>
        <w:t>).</w:t>
      </w:r>
      <w:proofErr w:type="gramEnd"/>
    </w:p>
  </w:footnote>
  <w:footnote w:id="8">
    <w:p w14:paraId="1C5F00E4" w14:textId="3C19A94D" w:rsidR="00706351" w:rsidRPr="007A058A" w:rsidRDefault="00706351" w:rsidP="00706351">
      <w:pPr>
        <w:pStyle w:val="FootnoteText"/>
        <w:rPr>
          <w:lang w:val="fr-FR"/>
        </w:rPr>
      </w:pPr>
      <w:r w:rsidRPr="005B14D1">
        <w:rPr>
          <w:rFonts w:asciiTheme="minorHAnsi" w:hAnsiTheme="minorHAnsi"/>
          <w:bCs/>
          <w:sz w:val="18"/>
          <w:szCs w:val="18"/>
          <w:vertAlign w:val="superscript"/>
        </w:rPr>
        <w:footnoteRef/>
      </w:r>
      <w:r w:rsidRPr="007A058A">
        <w:rPr>
          <w:rFonts w:asciiTheme="minorHAnsi" w:hAnsiTheme="minorHAnsi"/>
          <w:bCs/>
          <w:sz w:val="18"/>
          <w:szCs w:val="18"/>
          <w:lang w:val="fr-FR"/>
        </w:rPr>
        <w:t xml:space="preserve"> Les organisations de la société civil</w:t>
      </w:r>
      <w:r w:rsidR="004D0729">
        <w:rPr>
          <w:rFonts w:asciiTheme="minorHAnsi" w:hAnsiTheme="minorHAnsi"/>
          <w:bCs/>
          <w:sz w:val="18"/>
          <w:szCs w:val="18"/>
          <w:lang w:val="fr-FR"/>
        </w:rPr>
        <w:t>e</w:t>
      </w:r>
      <w:r w:rsidRPr="007A058A">
        <w:rPr>
          <w:rFonts w:asciiTheme="minorHAnsi" w:hAnsiTheme="minorHAnsi"/>
          <w:bCs/>
          <w:sz w:val="18"/>
          <w:szCs w:val="18"/>
          <w:lang w:val="fr-FR"/>
        </w:rPr>
        <w:t xml:space="preserve"> sont aussi </w:t>
      </w:r>
      <w:r w:rsidR="004D0729" w:rsidRPr="007A058A">
        <w:rPr>
          <w:rFonts w:asciiTheme="minorHAnsi" w:hAnsiTheme="minorHAnsi"/>
          <w:bCs/>
          <w:sz w:val="18"/>
          <w:szCs w:val="18"/>
          <w:lang w:val="fr-FR"/>
        </w:rPr>
        <w:t>pertinentes</w:t>
      </w:r>
      <w:r w:rsidRPr="007A058A">
        <w:rPr>
          <w:rFonts w:asciiTheme="minorHAnsi" w:hAnsiTheme="minorHAnsi"/>
          <w:bCs/>
          <w:sz w:val="18"/>
          <w:szCs w:val="18"/>
          <w:lang w:val="fr-FR"/>
        </w:rPr>
        <w:t xml:space="preserve"> pour </w:t>
      </w:r>
      <w:r w:rsidR="004D0729" w:rsidRPr="007A058A">
        <w:rPr>
          <w:rFonts w:asciiTheme="minorHAnsi" w:hAnsiTheme="minorHAnsi"/>
          <w:bCs/>
          <w:sz w:val="18"/>
          <w:szCs w:val="18"/>
          <w:lang w:val="fr-FR"/>
        </w:rPr>
        <w:t>cette</w:t>
      </w:r>
      <w:r w:rsidRPr="007A058A">
        <w:rPr>
          <w:rFonts w:asciiTheme="minorHAnsi" w:hAnsiTheme="minorHAnsi"/>
          <w:bCs/>
          <w:sz w:val="18"/>
          <w:szCs w:val="18"/>
          <w:lang w:val="fr-FR"/>
        </w:rPr>
        <w:t xml:space="preserve"> étude.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137C1" w14:textId="77777777" w:rsidR="0080688F" w:rsidRDefault="008068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53EB"/>
    <w:multiLevelType w:val="hybridMultilevel"/>
    <w:tmpl w:val="CD8CE870"/>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4F1301F"/>
    <w:multiLevelType w:val="hybridMultilevel"/>
    <w:tmpl w:val="7FA2EEA8"/>
    <w:lvl w:ilvl="0" w:tplc="0809000F">
      <w:start w:val="1"/>
      <w:numFmt w:val="decimal"/>
      <w:lvlText w:val="%1."/>
      <w:lvlJc w:val="left"/>
      <w:pPr>
        <w:ind w:left="765" w:hanging="360"/>
      </w:pPr>
      <w:rPr>
        <w:rFonts w:hint="default"/>
        <w:b w:val="0"/>
        <w:bCs w:val="0"/>
        <w:i w:val="0"/>
        <w:iCs w:val="0"/>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nsid w:val="1E1A0EE9"/>
    <w:multiLevelType w:val="hybridMultilevel"/>
    <w:tmpl w:val="0D62D38C"/>
    <w:lvl w:ilvl="0" w:tplc="2C7CE064">
      <w:start w:val="1"/>
      <w:numFmt w:val="decimal"/>
      <w:lvlText w:val="%1)"/>
      <w:lvlJc w:val="left"/>
      <w:pPr>
        <w:ind w:left="720" w:hanging="360"/>
      </w:pPr>
      <w:rPr>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E867D0"/>
    <w:multiLevelType w:val="hybridMultilevel"/>
    <w:tmpl w:val="E8EAE5F2"/>
    <w:lvl w:ilvl="0" w:tplc="F68033EA">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43B3634"/>
    <w:multiLevelType w:val="multilevel"/>
    <w:tmpl w:val="1666BB0E"/>
    <w:lvl w:ilvl="0">
      <w:start w:val="1"/>
      <w:numFmt w:val="decimal"/>
      <w:lvlText w:val="%1."/>
      <w:lvlJc w:val="left"/>
      <w:pPr>
        <w:ind w:left="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F4B7D21"/>
    <w:multiLevelType w:val="hybridMultilevel"/>
    <w:tmpl w:val="5DAA9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44D2EE1"/>
    <w:multiLevelType w:val="hybridMultilevel"/>
    <w:tmpl w:val="E984F5A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B8D54F2"/>
    <w:multiLevelType w:val="hybridMultilevel"/>
    <w:tmpl w:val="0EFEA820"/>
    <w:lvl w:ilvl="0" w:tplc="624213A4">
      <w:start w:val="1"/>
      <w:numFmt w:val="bullet"/>
      <w:lvlText w:val=""/>
      <w:lvlJc w:val="left"/>
      <w:pPr>
        <w:ind w:left="170" w:hanging="170"/>
      </w:pPr>
      <w:rPr>
        <w:rFonts w:ascii="Symbol" w:hAnsi="Symbol" w:hint="default"/>
        <w:color w:val="auto"/>
        <w:sz w:val="20"/>
        <w:szCs w:val="20"/>
      </w:rPr>
    </w:lvl>
    <w:lvl w:ilvl="1" w:tplc="ABEAD17A">
      <w:numFmt w:val="bullet"/>
      <w:lvlText w:val="-"/>
      <w:lvlJc w:val="left"/>
      <w:pPr>
        <w:ind w:left="454" w:hanging="170"/>
      </w:pPr>
      <w:rPr>
        <w:rFonts w:ascii="Calibri" w:eastAsiaTheme="minorHAnsi" w:hAnsi="Calibri" w:cstheme="minorBidi"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C6D7067"/>
    <w:multiLevelType w:val="hybridMultilevel"/>
    <w:tmpl w:val="5504FF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EAE58F6"/>
    <w:multiLevelType w:val="multilevel"/>
    <w:tmpl w:val="E3FE04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4444216A"/>
    <w:multiLevelType w:val="hybridMultilevel"/>
    <w:tmpl w:val="2FB6D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4D7067"/>
    <w:multiLevelType w:val="hybridMultilevel"/>
    <w:tmpl w:val="04523422"/>
    <w:lvl w:ilvl="0" w:tplc="23F60B1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4BE61E7"/>
    <w:multiLevelType w:val="hybridMultilevel"/>
    <w:tmpl w:val="4C06EE0E"/>
    <w:lvl w:ilvl="0" w:tplc="08090001">
      <w:start w:val="1"/>
      <w:numFmt w:val="bullet"/>
      <w:lvlText w:val=""/>
      <w:lvlJc w:val="left"/>
      <w:pPr>
        <w:ind w:left="765" w:hanging="360"/>
      </w:pPr>
      <w:rPr>
        <w:rFonts w:ascii="Symbol" w:hAnsi="Symbol"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3">
    <w:nsid w:val="476129A1"/>
    <w:multiLevelType w:val="hybridMultilevel"/>
    <w:tmpl w:val="65422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B583B6B"/>
    <w:multiLevelType w:val="hybridMultilevel"/>
    <w:tmpl w:val="8CEEFE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E375A91"/>
    <w:multiLevelType w:val="hybridMultilevel"/>
    <w:tmpl w:val="F8F67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2F93658"/>
    <w:multiLevelType w:val="hybridMultilevel"/>
    <w:tmpl w:val="2084D6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69E5820"/>
    <w:multiLevelType w:val="hybridMultilevel"/>
    <w:tmpl w:val="328A5C70"/>
    <w:lvl w:ilvl="0" w:tplc="B82ABC5A">
      <w:start w:val="1"/>
      <w:numFmt w:val="decimal"/>
      <w:lvlText w:val="%1."/>
      <w:lvlJc w:val="left"/>
      <w:pPr>
        <w:tabs>
          <w:tab w:val="num" w:pos="284"/>
        </w:tabs>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2"/>
  </w:num>
  <w:num w:numId="3">
    <w:abstractNumId w:val="1"/>
  </w:num>
  <w:num w:numId="4">
    <w:abstractNumId w:val="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7"/>
  </w:num>
  <w:num w:numId="8">
    <w:abstractNumId w:val="3"/>
  </w:num>
  <w:num w:numId="9">
    <w:abstractNumId w:val="11"/>
  </w:num>
  <w:num w:numId="10">
    <w:abstractNumId w:val="8"/>
  </w:num>
  <w:num w:numId="11">
    <w:abstractNumId w:val="5"/>
  </w:num>
  <w:num w:numId="12">
    <w:abstractNumId w:val="15"/>
  </w:num>
  <w:num w:numId="13">
    <w:abstractNumId w:val="0"/>
  </w:num>
  <w:num w:numId="14">
    <w:abstractNumId w:val="6"/>
  </w:num>
  <w:num w:numId="15">
    <w:abstractNumId w:val="16"/>
  </w:num>
  <w:num w:numId="16">
    <w:abstractNumId w:val="17"/>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5E32D8"/>
    <w:rsid w:val="00001297"/>
    <w:rsid w:val="000048AD"/>
    <w:rsid w:val="00016780"/>
    <w:rsid w:val="000202EE"/>
    <w:rsid w:val="000203A3"/>
    <w:rsid w:val="00020938"/>
    <w:rsid w:val="000229E1"/>
    <w:rsid w:val="00023A95"/>
    <w:rsid w:val="000245BC"/>
    <w:rsid w:val="00025D27"/>
    <w:rsid w:val="00027815"/>
    <w:rsid w:val="000346AE"/>
    <w:rsid w:val="000416F3"/>
    <w:rsid w:val="00047F34"/>
    <w:rsid w:val="00052F8B"/>
    <w:rsid w:val="000570BA"/>
    <w:rsid w:val="000602AA"/>
    <w:rsid w:val="0006554C"/>
    <w:rsid w:val="00066E0E"/>
    <w:rsid w:val="000772A8"/>
    <w:rsid w:val="00080B0E"/>
    <w:rsid w:val="000813C4"/>
    <w:rsid w:val="00084C0B"/>
    <w:rsid w:val="000A05A0"/>
    <w:rsid w:val="000A1795"/>
    <w:rsid w:val="000A25C0"/>
    <w:rsid w:val="000A5F83"/>
    <w:rsid w:val="000A7358"/>
    <w:rsid w:val="000A7EE2"/>
    <w:rsid w:val="000B3C14"/>
    <w:rsid w:val="000C2A59"/>
    <w:rsid w:val="000C6BF4"/>
    <w:rsid w:val="000D0B85"/>
    <w:rsid w:val="000E0AFD"/>
    <w:rsid w:val="000E3F89"/>
    <w:rsid w:val="000F2C98"/>
    <w:rsid w:val="000F2F38"/>
    <w:rsid w:val="0010049E"/>
    <w:rsid w:val="001026A8"/>
    <w:rsid w:val="00103492"/>
    <w:rsid w:val="001039E4"/>
    <w:rsid w:val="00107B27"/>
    <w:rsid w:val="00112935"/>
    <w:rsid w:val="0011404C"/>
    <w:rsid w:val="00115C7C"/>
    <w:rsid w:val="00117BBD"/>
    <w:rsid w:val="00120259"/>
    <w:rsid w:val="001210E3"/>
    <w:rsid w:val="00122421"/>
    <w:rsid w:val="00122549"/>
    <w:rsid w:val="00127929"/>
    <w:rsid w:val="00133334"/>
    <w:rsid w:val="001335D0"/>
    <w:rsid w:val="00143765"/>
    <w:rsid w:val="00144A6A"/>
    <w:rsid w:val="00147556"/>
    <w:rsid w:val="00151D9E"/>
    <w:rsid w:val="00154E73"/>
    <w:rsid w:val="0015710B"/>
    <w:rsid w:val="00160222"/>
    <w:rsid w:val="00160896"/>
    <w:rsid w:val="0016445B"/>
    <w:rsid w:val="0016533B"/>
    <w:rsid w:val="00171D4E"/>
    <w:rsid w:val="001777A7"/>
    <w:rsid w:val="00185642"/>
    <w:rsid w:val="0018582F"/>
    <w:rsid w:val="0018630B"/>
    <w:rsid w:val="001922B4"/>
    <w:rsid w:val="00192EC4"/>
    <w:rsid w:val="0019396F"/>
    <w:rsid w:val="00197C12"/>
    <w:rsid w:val="001A3F10"/>
    <w:rsid w:val="001A474A"/>
    <w:rsid w:val="001A5983"/>
    <w:rsid w:val="001B50DA"/>
    <w:rsid w:val="001C0938"/>
    <w:rsid w:val="001C193C"/>
    <w:rsid w:val="001D23AB"/>
    <w:rsid w:val="001E7D1E"/>
    <w:rsid w:val="001F0CD9"/>
    <w:rsid w:val="001F1F74"/>
    <w:rsid w:val="001F32CA"/>
    <w:rsid w:val="001F4002"/>
    <w:rsid w:val="002005B3"/>
    <w:rsid w:val="00200C7A"/>
    <w:rsid w:val="00204E32"/>
    <w:rsid w:val="00214966"/>
    <w:rsid w:val="00216947"/>
    <w:rsid w:val="002220C0"/>
    <w:rsid w:val="00222193"/>
    <w:rsid w:val="0022317E"/>
    <w:rsid w:val="00226729"/>
    <w:rsid w:val="002272CD"/>
    <w:rsid w:val="00232C1E"/>
    <w:rsid w:val="0023410F"/>
    <w:rsid w:val="002354D0"/>
    <w:rsid w:val="002365E9"/>
    <w:rsid w:val="00236B3A"/>
    <w:rsid w:val="00246B53"/>
    <w:rsid w:val="00254612"/>
    <w:rsid w:val="00260557"/>
    <w:rsid w:val="00267E87"/>
    <w:rsid w:val="002700A8"/>
    <w:rsid w:val="00271832"/>
    <w:rsid w:val="00273FA7"/>
    <w:rsid w:val="00282005"/>
    <w:rsid w:val="0028449B"/>
    <w:rsid w:val="002875C4"/>
    <w:rsid w:val="00290211"/>
    <w:rsid w:val="002969A6"/>
    <w:rsid w:val="002B14B6"/>
    <w:rsid w:val="002B4FA6"/>
    <w:rsid w:val="002E034D"/>
    <w:rsid w:val="002E14AA"/>
    <w:rsid w:val="002E58C5"/>
    <w:rsid w:val="002F26E7"/>
    <w:rsid w:val="002F4D86"/>
    <w:rsid w:val="002F7E7B"/>
    <w:rsid w:val="003018EB"/>
    <w:rsid w:val="0030435A"/>
    <w:rsid w:val="0030740C"/>
    <w:rsid w:val="00315CD6"/>
    <w:rsid w:val="003215B3"/>
    <w:rsid w:val="003235FD"/>
    <w:rsid w:val="00340FA1"/>
    <w:rsid w:val="00342781"/>
    <w:rsid w:val="00342C8C"/>
    <w:rsid w:val="00365543"/>
    <w:rsid w:val="00366246"/>
    <w:rsid w:val="003734C0"/>
    <w:rsid w:val="00373DB5"/>
    <w:rsid w:val="00376315"/>
    <w:rsid w:val="00387DCC"/>
    <w:rsid w:val="00390193"/>
    <w:rsid w:val="0039281D"/>
    <w:rsid w:val="003A59C8"/>
    <w:rsid w:val="003A646C"/>
    <w:rsid w:val="003A797A"/>
    <w:rsid w:val="003B45C7"/>
    <w:rsid w:val="003B6F1A"/>
    <w:rsid w:val="003C244B"/>
    <w:rsid w:val="003C5B18"/>
    <w:rsid w:val="003C66F4"/>
    <w:rsid w:val="003C7F43"/>
    <w:rsid w:val="003D13BE"/>
    <w:rsid w:val="003E7E68"/>
    <w:rsid w:val="003F4F6E"/>
    <w:rsid w:val="0040487B"/>
    <w:rsid w:val="0040605C"/>
    <w:rsid w:val="00413269"/>
    <w:rsid w:val="00417F29"/>
    <w:rsid w:val="004209C5"/>
    <w:rsid w:val="00425777"/>
    <w:rsid w:val="00425F51"/>
    <w:rsid w:val="00427B19"/>
    <w:rsid w:val="004349C1"/>
    <w:rsid w:val="00440E25"/>
    <w:rsid w:val="00443E0C"/>
    <w:rsid w:val="00445C68"/>
    <w:rsid w:val="00447501"/>
    <w:rsid w:val="0045168C"/>
    <w:rsid w:val="00460D9A"/>
    <w:rsid w:val="0047459B"/>
    <w:rsid w:val="00480F15"/>
    <w:rsid w:val="00481785"/>
    <w:rsid w:val="004878AD"/>
    <w:rsid w:val="004A0510"/>
    <w:rsid w:val="004A350A"/>
    <w:rsid w:val="004A6DB2"/>
    <w:rsid w:val="004B22D9"/>
    <w:rsid w:val="004B2C98"/>
    <w:rsid w:val="004B3D15"/>
    <w:rsid w:val="004B51CB"/>
    <w:rsid w:val="004C3B2B"/>
    <w:rsid w:val="004C3C23"/>
    <w:rsid w:val="004C724A"/>
    <w:rsid w:val="004D0729"/>
    <w:rsid w:val="004D3DC2"/>
    <w:rsid w:val="004E3474"/>
    <w:rsid w:val="004E4A3E"/>
    <w:rsid w:val="004F5CF2"/>
    <w:rsid w:val="00504097"/>
    <w:rsid w:val="00504B22"/>
    <w:rsid w:val="00504F10"/>
    <w:rsid w:val="005050DF"/>
    <w:rsid w:val="005051B8"/>
    <w:rsid w:val="0051151E"/>
    <w:rsid w:val="005118BD"/>
    <w:rsid w:val="00512CB6"/>
    <w:rsid w:val="00520892"/>
    <w:rsid w:val="0053149B"/>
    <w:rsid w:val="005348FB"/>
    <w:rsid w:val="00542160"/>
    <w:rsid w:val="0054270E"/>
    <w:rsid w:val="00552D15"/>
    <w:rsid w:val="00555F10"/>
    <w:rsid w:val="00560CA1"/>
    <w:rsid w:val="005656B5"/>
    <w:rsid w:val="00573688"/>
    <w:rsid w:val="0058127E"/>
    <w:rsid w:val="005814B3"/>
    <w:rsid w:val="0058371C"/>
    <w:rsid w:val="0058605E"/>
    <w:rsid w:val="00591561"/>
    <w:rsid w:val="00591762"/>
    <w:rsid w:val="00591CCE"/>
    <w:rsid w:val="00594CEF"/>
    <w:rsid w:val="00595740"/>
    <w:rsid w:val="005A2FE6"/>
    <w:rsid w:val="005A4238"/>
    <w:rsid w:val="005A5E37"/>
    <w:rsid w:val="005B14D1"/>
    <w:rsid w:val="005C3E31"/>
    <w:rsid w:val="005C65E5"/>
    <w:rsid w:val="005C7316"/>
    <w:rsid w:val="005D1AD1"/>
    <w:rsid w:val="005D31E6"/>
    <w:rsid w:val="005D3448"/>
    <w:rsid w:val="005D4B25"/>
    <w:rsid w:val="005E0387"/>
    <w:rsid w:val="005E0F11"/>
    <w:rsid w:val="005E2125"/>
    <w:rsid w:val="005E32D8"/>
    <w:rsid w:val="005E7D5E"/>
    <w:rsid w:val="005F2BD1"/>
    <w:rsid w:val="005F4F7D"/>
    <w:rsid w:val="006113BA"/>
    <w:rsid w:val="00614F83"/>
    <w:rsid w:val="00616E16"/>
    <w:rsid w:val="006251A2"/>
    <w:rsid w:val="00626194"/>
    <w:rsid w:val="0063737B"/>
    <w:rsid w:val="00650EFD"/>
    <w:rsid w:val="00654DA1"/>
    <w:rsid w:val="00662473"/>
    <w:rsid w:val="00664463"/>
    <w:rsid w:val="006718E7"/>
    <w:rsid w:val="00673388"/>
    <w:rsid w:val="0067537A"/>
    <w:rsid w:val="00681815"/>
    <w:rsid w:val="00683CDE"/>
    <w:rsid w:val="00687CF2"/>
    <w:rsid w:val="006906EB"/>
    <w:rsid w:val="006909C5"/>
    <w:rsid w:val="00692049"/>
    <w:rsid w:val="00693DF2"/>
    <w:rsid w:val="0069601D"/>
    <w:rsid w:val="0069633E"/>
    <w:rsid w:val="006A0464"/>
    <w:rsid w:val="006A0EDE"/>
    <w:rsid w:val="006A280C"/>
    <w:rsid w:val="006A3FC1"/>
    <w:rsid w:val="006C1CED"/>
    <w:rsid w:val="006D1395"/>
    <w:rsid w:val="006D6B5D"/>
    <w:rsid w:val="006E0872"/>
    <w:rsid w:val="006E2BA1"/>
    <w:rsid w:val="006E7CB7"/>
    <w:rsid w:val="006F63E2"/>
    <w:rsid w:val="007033D4"/>
    <w:rsid w:val="0070501B"/>
    <w:rsid w:val="00706351"/>
    <w:rsid w:val="007066F9"/>
    <w:rsid w:val="007103CA"/>
    <w:rsid w:val="007144B4"/>
    <w:rsid w:val="00715FF8"/>
    <w:rsid w:val="00721A5E"/>
    <w:rsid w:val="00722A05"/>
    <w:rsid w:val="0073366C"/>
    <w:rsid w:val="007338A7"/>
    <w:rsid w:val="00740D98"/>
    <w:rsid w:val="00741CC4"/>
    <w:rsid w:val="00742291"/>
    <w:rsid w:val="00743CA5"/>
    <w:rsid w:val="007449A4"/>
    <w:rsid w:val="00744A2E"/>
    <w:rsid w:val="007525C1"/>
    <w:rsid w:val="00753D6C"/>
    <w:rsid w:val="0075451D"/>
    <w:rsid w:val="00755055"/>
    <w:rsid w:val="0075648E"/>
    <w:rsid w:val="00757E93"/>
    <w:rsid w:val="00762456"/>
    <w:rsid w:val="00766AEC"/>
    <w:rsid w:val="00770620"/>
    <w:rsid w:val="00772A75"/>
    <w:rsid w:val="00774064"/>
    <w:rsid w:val="007775E9"/>
    <w:rsid w:val="00781D23"/>
    <w:rsid w:val="00785173"/>
    <w:rsid w:val="007868C3"/>
    <w:rsid w:val="0078716C"/>
    <w:rsid w:val="00787EA5"/>
    <w:rsid w:val="00791A8C"/>
    <w:rsid w:val="00797028"/>
    <w:rsid w:val="007A058A"/>
    <w:rsid w:val="007A0B9D"/>
    <w:rsid w:val="007A2593"/>
    <w:rsid w:val="007A63C9"/>
    <w:rsid w:val="007A6EF9"/>
    <w:rsid w:val="007C10ED"/>
    <w:rsid w:val="007C7E3C"/>
    <w:rsid w:val="007D1EB9"/>
    <w:rsid w:val="007D247E"/>
    <w:rsid w:val="007D26A2"/>
    <w:rsid w:val="007D6B66"/>
    <w:rsid w:val="007D729D"/>
    <w:rsid w:val="007E1CBC"/>
    <w:rsid w:val="007E2807"/>
    <w:rsid w:val="007E5846"/>
    <w:rsid w:val="007F60EE"/>
    <w:rsid w:val="008028D7"/>
    <w:rsid w:val="00803B8A"/>
    <w:rsid w:val="0080688F"/>
    <w:rsid w:val="0081451B"/>
    <w:rsid w:val="00814D6D"/>
    <w:rsid w:val="008175E7"/>
    <w:rsid w:val="00822A48"/>
    <w:rsid w:val="00822FCC"/>
    <w:rsid w:val="0082562D"/>
    <w:rsid w:val="0083188B"/>
    <w:rsid w:val="008333DA"/>
    <w:rsid w:val="008351BF"/>
    <w:rsid w:val="00836303"/>
    <w:rsid w:val="00841D9F"/>
    <w:rsid w:val="008445D3"/>
    <w:rsid w:val="0085318E"/>
    <w:rsid w:val="00855402"/>
    <w:rsid w:val="008603A4"/>
    <w:rsid w:val="008603CE"/>
    <w:rsid w:val="008609A6"/>
    <w:rsid w:val="00864A07"/>
    <w:rsid w:val="008679A4"/>
    <w:rsid w:val="00870D4E"/>
    <w:rsid w:val="00871655"/>
    <w:rsid w:val="008720BE"/>
    <w:rsid w:val="00873644"/>
    <w:rsid w:val="00881858"/>
    <w:rsid w:val="0089090E"/>
    <w:rsid w:val="008964D9"/>
    <w:rsid w:val="00896641"/>
    <w:rsid w:val="008974A7"/>
    <w:rsid w:val="008A1C92"/>
    <w:rsid w:val="008A7303"/>
    <w:rsid w:val="008B2918"/>
    <w:rsid w:val="008B2FAA"/>
    <w:rsid w:val="008B77FC"/>
    <w:rsid w:val="008C48A7"/>
    <w:rsid w:val="008C5643"/>
    <w:rsid w:val="008D0C5C"/>
    <w:rsid w:val="008D3AB9"/>
    <w:rsid w:val="008D6885"/>
    <w:rsid w:val="008E042B"/>
    <w:rsid w:val="008E27D7"/>
    <w:rsid w:val="008E6C56"/>
    <w:rsid w:val="008F0B1B"/>
    <w:rsid w:val="0090048E"/>
    <w:rsid w:val="0090537D"/>
    <w:rsid w:val="0091076B"/>
    <w:rsid w:val="0091505E"/>
    <w:rsid w:val="00920DF6"/>
    <w:rsid w:val="00925211"/>
    <w:rsid w:val="00932076"/>
    <w:rsid w:val="009320E5"/>
    <w:rsid w:val="00937BA6"/>
    <w:rsid w:val="0094337F"/>
    <w:rsid w:val="00951D12"/>
    <w:rsid w:val="0095363E"/>
    <w:rsid w:val="00953DF3"/>
    <w:rsid w:val="00955F34"/>
    <w:rsid w:val="00967E3B"/>
    <w:rsid w:val="009824F1"/>
    <w:rsid w:val="009824F6"/>
    <w:rsid w:val="0098322D"/>
    <w:rsid w:val="00984C2C"/>
    <w:rsid w:val="00986B95"/>
    <w:rsid w:val="009A33E5"/>
    <w:rsid w:val="009A4ECB"/>
    <w:rsid w:val="009A79E1"/>
    <w:rsid w:val="009B5C0D"/>
    <w:rsid w:val="009C087B"/>
    <w:rsid w:val="009C43F0"/>
    <w:rsid w:val="009C4EA4"/>
    <w:rsid w:val="009C5384"/>
    <w:rsid w:val="009C6668"/>
    <w:rsid w:val="009C6FB0"/>
    <w:rsid w:val="009D19D9"/>
    <w:rsid w:val="009D30D2"/>
    <w:rsid w:val="009D77A8"/>
    <w:rsid w:val="009F1853"/>
    <w:rsid w:val="009F1A7A"/>
    <w:rsid w:val="009F63F1"/>
    <w:rsid w:val="00A00425"/>
    <w:rsid w:val="00A056DF"/>
    <w:rsid w:val="00A12625"/>
    <w:rsid w:val="00A14F97"/>
    <w:rsid w:val="00A1640A"/>
    <w:rsid w:val="00A211FE"/>
    <w:rsid w:val="00A21605"/>
    <w:rsid w:val="00A2579C"/>
    <w:rsid w:val="00A30412"/>
    <w:rsid w:val="00A33558"/>
    <w:rsid w:val="00A33DF6"/>
    <w:rsid w:val="00A368F7"/>
    <w:rsid w:val="00A40D9C"/>
    <w:rsid w:val="00A41921"/>
    <w:rsid w:val="00A447E2"/>
    <w:rsid w:val="00A45FD5"/>
    <w:rsid w:val="00A5203A"/>
    <w:rsid w:val="00A5309C"/>
    <w:rsid w:val="00A571BA"/>
    <w:rsid w:val="00A615DB"/>
    <w:rsid w:val="00A7595B"/>
    <w:rsid w:val="00A81BCC"/>
    <w:rsid w:val="00A81D0C"/>
    <w:rsid w:val="00A91832"/>
    <w:rsid w:val="00A91BD3"/>
    <w:rsid w:val="00A948B6"/>
    <w:rsid w:val="00A9553A"/>
    <w:rsid w:val="00A96C82"/>
    <w:rsid w:val="00A97BFB"/>
    <w:rsid w:val="00AA0FC8"/>
    <w:rsid w:val="00AA2FBA"/>
    <w:rsid w:val="00AA36BB"/>
    <w:rsid w:val="00AA6AB8"/>
    <w:rsid w:val="00AA6D29"/>
    <w:rsid w:val="00AB3847"/>
    <w:rsid w:val="00AB515A"/>
    <w:rsid w:val="00AB5B84"/>
    <w:rsid w:val="00AC70CE"/>
    <w:rsid w:val="00AD7B73"/>
    <w:rsid w:val="00AE3AC1"/>
    <w:rsid w:val="00AE49C4"/>
    <w:rsid w:val="00AE773D"/>
    <w:rsid w:val="00AF184B"/>
    <w:rsid w:val="00B05DD2"/>
    <w:rsid w:val="00B23056"/>
    <w:rsid w:val="00B2726F"/>
    <w:rsid w:val="00B405D0"/>
    <w:rsid w:val="00B43D50"/>
    <w:rsid w:val="00B47F7D"/>
    <w:rsid w:val="00B5317A"/>
    <w:rsid w:val="00B5387E"/>
    <w:rsid w:val="00B609A0"/>
    <w:rsid w:val="00B6262E"/>
    <w:rsid w:val="00B7105B"/>
    <w:rsid w:val="00B77A9E"/>
    <w:rsid w:val="00B77C7D"/>
    <w:rsid w:val="00B873C8"/>
    <w:rsid w:val="00B87D32"/>
    <w:rsid w:val="00B92773"/>
    <w:rsid w:val="00BA0EF5"/>
    <w:rsid w:val="00BA3B3D"/>
    <w:rsid w:val="00BA54CF"/>
    <w:rsid w:val="00BA70AD"/>
    <w:rsid w:val="00BB58A4"/>
    <w:rsid w:val="00BB6334"/>
    <w:rsid w:val="00BC08F7"/>
    <w:rsid w:val="00BC132C"/>
    <w:rsid w:val="00BC368E"/>
    <w:rsid w:val="00BC4049"/>
    <w:rsid w:val="00BD3E74"/>
    <w:rsid w:val="00BD5801"/>
    <w:rsid w:val="00BD5DC6"/>
    <w:rsid w:val="00BD6ABE"/>
    <w:rsid w:val="00BE30DA"/>
    <w:rsid w:val="00BE6AD0"/>
    <w:rsid w:val="00BE6E39"/>
    <w:rsid w:val="00BF2EF1"/>
    <w:rsid w:val="00C04DE2"/>
    <w:rsid w:val="00C112B3"/>
    <w:rsid w:val="00C11D99"/>
    <w:rsid w:val="00C13B4B"/>
    <w:rsid w:val="00C224A6"/>
    <w:rsid w:val="00C23474"/>
    <w:rsid w:val="00C35F3E"/>
    <w:rsid w:val="00C363DA"/>
    <w:rsid w:val="00C372DE"/>
    <w:rsid w:val="00C43BEC"/>
    <w:rsid w:val="00C56411"/>
    <w:rsid w:val="00C57139"/>
    <w:rsid w:val="00C70D1B"/>
    <w:rsid w:val="00C75B3C"/>
    <w:rsid w:val="00C77778"/>
    <w:rsid w:val="00C8272C"/>
    <w:rsid w:val="00C91EED"/>
    <w:rsid w:val="00C963FC"/>
    <w:rsid w:val="00C96DD3"/>
    <w:rsid w:val="00CA0140"/>
    <w:rsid w:val="00CA2C8D"/>
    <w:rsid w:val="00CA52CA"/>
    <w:rsid w:val="00CB0A8E"/>
    <w:rsid w:val="00CC4E3B"/>
    <w:rsid w:val="00CD3E73"/>
    <w:rsid w:val="00CE172B"/>
    <w:rsid w:val="00CE3142"/>
    <w:rsid w:val="00CE5E4A"/>
    <w:rsid w:val="00CE6554"/>
    <w:rsid w:val="00CE75DA"/>
    <w:rsid w:val="00CF17C3"/>
    <w:rsid w:val="00D036CF"/>
    <w:rsid w:val="00D066CA"/>
    <w:rsid w:val="00D20F30"/>
    <w:rsid w:val="00D327F6"/>
    <w:rsid w:val="00D54ECE"/>
    <w:rsid w:val="00D60659"/>
    <w:rsid w:val="00D62A51"/>
    <w:rsid w:val="00D640FC"/>
    <w:rsid w:val="00D64384"/>
    <w:rsid w:val="00D64395"/>
    <w:rsid w:val="00D70A66"/>
    <w:rsid w:val="00D804BD"/>
    <w:rsid w:val="00D805BD"/>
    <w:rsid w:val="00D84A89"/>
    <w:rsid w:val="00D91C16"/>
    <w:rsid w:val="00DA1F0A"/>
    <w:rsid w:val="00DA5708"/>
    <w:rsid w:val="00DA6F9B"/>
    <w:rsid w:val="00DA781B"/>
    <w:rsid w:val="00DC1485"/>
    <w:rsid w:val="00DC4C0A"/>
    <w:rsid w:val="00DC5E6B"/>
    <w:rsid w:val="00DD1162"/>
    <w:rsid w:val="00DD37F3"/>
    <w:rsid w:val="00DD5395"/>
    <w:rsid w:val="00DD75B3"/>
    <w:rsid w:val="00DE2EFA"/>
    <w:rsid w:val="00DE49E1"/>
    <w:rsid w:val="00DE4D89"/>
    <w:rsid w:val="00DF0B88"/>
    <w:rsid w:val="00DF43F4"/>
    <w:rsid w:val="00DF6D32"/>
    <w:rsid w:val="00E0325E"/>
    <w:rsid w:val="00E0441A"/>
    <w:rsid w:val="00E10B38"/>
    <w:rsid w:val="00E12297"/>
    <w:rsid w:val="00E13E00"/>
    <w:rsid w:val="00E144F0"/>
    <w:rsid w:val="00E17DF0"/>
    <w:rsid w:val="00E23833"/>
    <w:rsid w:val="00E253DD"/>
    <w:rsid w:val="00E34559"/>
    <w:rsid w:val="00E41A34"/>
    <w:rsid w:val="00E45A3E"/>
    <w:rsid w:val="00E467BC"/>
    <w:rsid w:val="00E52999"/>
    <w:rsid w:val="00E56F10"/>
    <w:rsid w:val="00E56F37"/>
    <w:rsid w:val="00E5781C"/>
    <w:rsid w:val="00E63AC7"/>
    <w:rsid w:val="00E65810"/>
    <w:rsid w:val="00E70C98"/>
    <w:rsid w:val="00E74AAB"/>
    <w:rsid w:val="00E74EF1"/>
    <w:rsid w:val="00E768F7"/>
    <w:rsid w:val="00E82CDD"/>
    <w:rsid w:val="00E95803"/>
    <w:rsid w:val="00EA17A7"/>
    <w:rsid w:val="00EA2252"/>
    <w:rsid w:val="00EA4164"/>
    <w:rsid w:val="00EA5A0D"/>
    <w:rsid w:val="00EA78D3"/>
    <w:rsid w:val="00EB78BB"/>
    <w:rsid w:val="00EC15C4"/>
    <w:rsid w:val="00EC5E6A"/>
    <w:rsid w:val="00ED55A9"/>
    <w:rsid w:val="00EE2489"/>
    <w:rsid w:val="00EE75D6"/>
    <w:rsid w:val="00EF0ADB"/>
    <w:rsid w:val="00EF4A3C"/>
    <w:rsid w:val="00EF4FAC"/>
    <w:rsid w:val="00EF5243"/>
    <w:rsid w:val="00EF5F92"/>
    <w:rsid w:val="00F005DC"/>
    <w:rsid w:val="00F038E4"/>
    <w:rsid w:val="00F05363"/>
    <w:rsid w:val="00F10AD9"/>
    <w:rsid w:val="00F2523A"/>
    <w:rsid w:val="00F34120"/>
    <w:rsid w:val="00F35880"/>
    <w:rsid w:val="00F45C2B"/>
    <w:rsid w:val="00F51141"/>
    <w:rsid w:val="00F51A13"/>
    <w:rsid w:val="00F54A4E"/>
    <w:rsid w:val="00F557DE"/>
    <w:rsid w:val="00F56680"/>
    <w:rsid w:val="00F6291A"/>
    <w:rsid w:val="00F658AA"/>
    <w:rsid w:val="00F65A8B"/>
    <w:rsid w:val="00F66BBB"/>
    <w:rsid w:val="00F73403"/>
    <w:rsid w:val="00F734C6"/>
    <w:rsid w:val="00F74BDA"/>
    <w:rsid w:val="00F76001"/>
    <w:rsid w:val="00F76F9B"/>
    <w:rsid w:val="00F82607"/>
    <w:rsid w:val="00F83997"/>
    <w:rsid w:val="00F90AA0"/>
    <w:rsid w:val="00F9234F"/>
    <w:rsid w:val="00F961D5"/>
    <w:rsid w:val="00F97682"/>
    <w:rsid w:val="00FA18A6"/>
    <w:rsid w:val="00FA3A32"/>
    <w:rsid w:val="00FA7C1A"/>
    <w:rsid w:val="00FB199E"/>
    <w:rsid w:val="00FB3F38"/>
    <w:rsid w:val="00FC073F"/>
    <w:rsid w:val="00FC44E0"/>
    <w:rsid w:val="00FD1BB8"/>
    <w:rsid w:val="00FD1D05"/>
    <w:rsid w:val="00FD24B1"/>
    <w:rsid w:val="00FD53DC"/>
    <w:rsid w:val="00FE5CF7"/>
    <w:rsid w:val="00FE7FE8"/>
    <w:rsid w:val="00FF3D80"/>
    <w:rsid w:val="00FF61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3E8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5E32D8"/>
    <w:pPr>
      <w:ind w:left="720"/>
      <w:contextualSpacing/>
    </w:pPr>
  </w:style>
  <w:style w:type="paragraph" w:styleId="FootnoteText">
    <w:name w:val="footnote text"/>
    <w:basedOn w:val="Normal"/>
    <w:link w:val="FootnoteTextChar"/>
    <w:uiPriority w:val="99"/>
    <w:unhideWhenUsed/>
    <w:rsid w:val="002354D0"/>
    <w:pPr>
      <w:spacing w:after="0" w:line="240" w:lineRule="auto"/>
    </w:pPr>
    <w:rPr>
      <w:sz w:val="20"/>
      <w:szCs w:val="20"/>
    </w:rPr>
  </w:style>
  <w:style w:type="character" w:customStyle="1" w:styleId="FootnoteTextChar">
    <w:name w:val="Footnote Text Char"/>
    <w:basedOn w:val="DefaultParagraphFont"/>
    <w:link w:val="FootnoteText"/>
    <w:uiPriority w:val="99"/>
    <w:rsid w:val="002354D0"/>
    <w:rPr>
      <w:rFonts w:ascii="Times New Roman" w:hAnsi="Times New Roman"/>
      <w:sz w:val="20"/>
      <w:szCs w:val="20"/>
      <w:lang w:val="en-GB"/>
    </w:rPr>
  </w:style>
  <w:style w:type="character" w:styleId="FootnoteReference">
    <w:name w:val="footnote reference"/>
    <w:basedOn w:val="DefaultParagraphFont"/>
    <w:uiPriority w:val="99"/>
    <w:unhideWhenUsed/>
    <w:rsid w:val="002354D0"/>
    <w:rPr>
      <w:vertAlign w:val="superscript"/>
    </w:rPr>
  </w:style>
  <w:style w:type="paragraph" w:customStyle="1" w:styleId="Default">
    <w:name w:val="Default"/>
    <w:rsid w:val="008A1C92"/>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EndnoteText">
    <w:name w:val="endnote text"/>
    <w:basedOn w:val="Normal"/>
    <w:link w:val="EndnoteTextChar"/>
    <w:uiPriority w:val="99"/>
    <w:unhideWhenUsed/>
    <w:rsid w:val="00216947"/>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rsid w:val="00216947"/>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unhideWhenUsed/>
    <w:rsid w:val="00216947"/>
    <w:rPr>
      <w:vertAlign w:val="superscript"/>
    </w:rPr>
  </w:style>
  <w:style w:type="character" w:styleId="Hyperlink">
    <w:name w:val="Hyperlink"/>
    <w:basedOn w:val="DefaultParagraphFont"/>
    <w:uiPriority w:val="99"/>
    <w:unhideWhenUsed/>
    <w:rsid w:val="00C70D1B"/>
    <w:rPr>
      <w:color w:val="0000FF" w:themeColor="hyperlink"/>
      <w:u w:val="single"/>
    </w:rPr>
  </w:style>
  <w:style w:type="character" w:customStyle="1" w:styleId="apple-converted-space">
    <w:name w:val="apple-converted-space"/>
    <w:basedOn w:val="DefaultParagraphFont"/>
    <w:rsid w:val="00FA3A32"/>
  </w:style>
  <w:style w:type="table" w:styleId="TableGrid">
    <w:name w:val="Table Grid"/>
    <w:basedOn w:val="TableNormal"/>
    <w:uiPriority w:val="59"/>
    <w:rsid w:val="004C3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0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C7A"/>
    <w:rPr>
      <w:rFonts w:ascii="Tahoma" w:hAnsi="Tahoma" w:cs="Tahoma"/>
      <w:sz w:val="16"/>
      <w:szCs w:val="16"/>
      <w:lang w:val="en-GB"/>
    </w:rPr>
  </w:style>
  <w:style w:type="character" w:styleId="CommentReference">
    <w:name w:val="annotation reference"/>
    <w:basedOn w:val="DefaultParagraphFont"/>
    <w:uiPriority w:val="99"/>
    <w:semiHidden/>
    <w:unhideWhenUsed/>
    <w:rsid w:val="00504B22"/>
    <w:rPr>
      <w:sz w:val="16"/>
      <w:szCs w:val="16"/>
    </w:rPr>
  </w:style>
  <w:style w:type="paragraph" w:styleId="CommentText">
    <w:name w:val="annotation text"/>
    <w:basedOn w:val="Normal"/>
    <w:link w:val="CommentTextChar"/>
    <w:uiPriority w:val="99"/>
    <w:semiHidden/>
    <w:unhideWhenUsed/>
    <w:rsid w:val="00504B22"/>
    <w:pPr>
      <w:spacing w:line="240" w:lineRule="auto"/>
    </w:pPr>
    <w:rPr>
      <w:sz w:val="20"/>
      <w:szCs w:val="20"/>
    </w:rPr>
  </w:style>
  <w:style w:type="character" w:customStyle="1" w:styleId="CommentTextChar">
    <w:name w:val="Comment Text Char"/>
    <w:basedOn w:val="DefaultParagraphFont"/>
    <w:link w:val="CommentText"/>
    <w:uiPriority w:val="99"/>
    <w:semiHidden/>
    <w:rsid w:val="00504B2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04B22"/>
    <w:rPr>
      <w:b/>
      <w:bCs/>
    </w:rPr>
  </w:style>
  <w:style w:type="character" w:customStyle="1" w:styleId="CommentSubjectChar">
    <w:name w:val="Comment Subject Char"/>
    <w:basedOn w:val="CommentTextChar"/>
    <w:link w:val="CommentSubject"/>
    <w:uiPriority w:val="99"/>
    <w:semiHidden/>
    <w:rsid w:val="00504B22"/>
    <w:rPr>
      <w:rFonts w:ascii="Times New Roman" w:hAnsi="Times New Roman"/>
      <w:b/>
      <w:bCs/>
      <w:sz w:val="20"/>
      <w:szCs w:val="20"/>
      <w:lang w:val="en-GB"/>
    </w:rPr>
  </w:style>
  <w:style w:type="table" w:styleId="LightShading-Accent4">
    <w:name w:val="Light Shading Accent 4"/>
    <w:basedOn w:val="TableNormal"/>
    <w:uiPriority w:val="60"/>
    <w:rsid w:val="00271832"/>
    <w:pPr>
      <w:spacing w:after="0" w:line="240" w:lineRule="auto"/>
    </w:pPr>
    <w:rPr>
      <w:rFonts w:eastAsiaTheme="minorEastAsia"/>
      <w:color w:val="5F497A" w:themeColor="accent4" w:themeShade="BF"/>
      <w:sz w:val="24"/>
      <w:szCs w:val="24"/>
      <w:lang w:val="it-IT"/>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5E32D8"/>
    <w:pPr>
      <w:ind w:left="720"/>
      <w:contextualSpacing/>
    </w:pPr>
  </w:style>
  <w:style w:type="paragraph" w:styleId="FootnoteText">
    <w:name w:val="footnote text"/>
    <w:basedOn w:val="Normal"/>
    <w:link w:val="FootnoteTextChar"/>
    <w:uiPriority w:val="99"/>
    <w:unhideWhenUsed/>
    <w:rsid w:val="002354D0"/>
    <w:pPr>
      <w:spacing w:after="0" w:line="240" w:lineRule="auto"/>
    </w:pPr>
    <w:rPr>
      <w:sz w:val="20"/>
      <w:szCs w:val="20"/>
    </w:rPr>
  </w:style>
  <w:style w:type="character" w:customStyle="1" w:styleId="FootnoteTextChar">
    <w:name w:val="Footnote Text Char"/>
    <w:basedOn w:val="DefaultParagraphFont"/>
    <w:link w:val="FootnoteText"/>
    <w:uiPriority w:val="99"/>
    <w:rsid w:val="002354D0"/>
    <w:rPr>
      <w:rFonts w:ascii="Times New Roman" w:hAnsi="Times New Roman"/>
      <w:sz w:val="20"/>
      <w:szCs w:val="20"/>
      <w:lang w:val="en-GB"/>
    </w:rPr>
  </w:style>
  <w:style w:type="character" w:styleId="FootnoteReference">
    <w:name w:val="footnote reference"/>
    <w:basedOn w:val="DefaultParagraphFont"/>
    <w:uiPriority w:val="99"/>
    <w:unhideWhenUsed/>
    <w:rsid w:val="002354D0"/>
    <w:rPr>
      <w:vertAlign w:val="superscript"/>
    </w:rPr>
  </w:style>
  <w:style w:type="paragraph" w:customStyle="1" w:styleId="Default">
    <w:name w:val="Default"/>
    <w:rsid w:val="008A1C92"/>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EndnoteText">
    <w:name w:val="endnote text"/>
    <w:basedOn w:val="Normal"/>
    <w:link w:val="EndnoteTextChar"/>
    <w:uiPriority w:val="99"/>
    <w:unhideWhenUsed/>
    <w:rsid w:val="00216947"/>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rsid w:val="00216947"/>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unhideWhenUsed/>
    <w:rsid w:val="00216947"/>
    <w:rPr>
      <w:vertAlign w:val="superscript"/>
    </w:rPr>
  </w:style>
  <w:style w:type="character" w:styleId="Hyperlink">
    <w:name w:val="Hyperlink"/>
    <w:basedOn w:val="DefaultParagraphFont"/>
    <w:uiPriority w:val="99"/>
    <w:unhideWhenUsed/>
    <w:rsid w:val="00C70D1B"/>
    <w:rPr>
      <w:color w:val="0000FF" w:themeColor="hyperlink"/>
      <w:u w:val="single"/>
    </w:rPr>
  </w:style>
  <w:style w:type="character" w:customStyle="1" w:styleId="apple-converted-space">
    <w:name w:val="apple-converted-space"/>
    <w:basedOn w:val="DefaultParagraphFont"/>
    <w:rsid w:val="00FA3A32"/>
  </w:style>
  <w:style w:type="table" w:styleId="TableGrid">
    <w:name w:val="Table Grid"/>
    <w:basedOn w:val="TableNormal"/>
    <w:uiPriority w:val="59"/>
    <w:rsid w:val="004C3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0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C7A"/>
    <w:rPr>
      <w:rFonts w:ascii="Tahoma" w:hAnsi="Tahoma" w:cs="Tahoma"/>
      <w:sz w:val="16"/>
      <w:szCs w:val="16"/>
      <w:lang w:val="en-GB"/>
    </w:rPr>
  </w:style>
  <w:style w:type="character" w:styleId="CommentReference">
    <w:name w:val="annotation reference"/>
    <w:basedOn w:val="DefaultParagraphFont"/>
    <w:uiPriority w:val="99"/>
    <w:semiHidden/>
    <w:unhideWhenUsed/>
    <w:rsid w:val="00504B22"/>
    <w:rPr>
      <w:sz w:val="16"/>
      <w:szCs w:val="16"/>
    </w:rPr>
  </w:style>
  <w:style w:type="paragraph" w:styleId="CommentText">
    <w:name w:val="annotation text"/>
    <w:basedOn w:val="Normal"/>
    <w:link w:val="CommentTextChar"/>
    <w:uiPriority w:val="99"/>
    <w:semiHidden/>
    <w:unhideWhenUsed/>
    <w:rsid w:val="00504B22"/>
    <w:pPr>
      <w:spacing w:line="240" w:lineRule="auto"/>
    </w:pPr>
    <w:rPr>
      <w:sz w:val="20"/>
      <w:szCs w:val="20"/>
    </w:rPr>
  </w:style>
  <w:style w:type="character" w:customStyle="1" w:styleId="CommentTextChar">
    <w:name w:val="Comment Text Char"/>
    <w:basedOn w:val="DefaultParagraphFont"/>
    <w:link w:val="CommentText"/>
    <w:uiPriority w:val="99"/>
    <w:semiHidden/>
    <w:rsid w:val="00504B2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04B22"/>
    <w:rPr>
      <w:b/>
      <w:bCs/>
    </w:rPr>
  </w:style>
  <w:style w:type="character" w:customStyle="1" w:styleId="CommentSubjectChar">
    <w:name w:val="Comment Subject Char"/>
    <w:basedOn w:val="CommentTextChar"/>
    <w:link w:val="CommentSubject"/>
    <w:uiPriority w:val="99"/>
    <w:semiHidden/>
    <w:rsid w:val="00504B22"/>
    <w:rPr>
      <w:rFonts w:ascii="Times New Roman" w:hAnsi="Times New Roman"/>
      <w:b/>
      <w:bCs/>
      <w:sz w:val="20"/>
      <w:szCs w:val="20"/>
      <w:lang w:val="en-GB"/>
    </w:rPr>
  </w:style>
  <w:style w:type="table" w:styleId="LightShading-Accent4">
    <w:name w:val="Light Shading Accent 4"/>
    <w:basedOn w:val="TableNormal"/>
    <w:uiPriority w:val="60"/>
    <w:rsid w:val="00271832"/>
    <w:pPr>
      <w:spacing w:after="0" w:line="240" w:lineRule="auto"/>
    </w:pPr>
    <w:rPr>
      <w:rFonts w:eastAsiaTheme="minorEastAsia"/>
      <w:color w:val="5F497A" w:themeColor="accent4" w:themeShade="BF"/>
      <w:sz w:val="24"/>
      <w:szCs w:val="24"/>
      <w:lang w:val="it-IT"/>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501619">
      <w:bodyDiv w:val="1"/>
      <w:marLeft w:val="0"/>
      <w:marRight w:val="0"/>
      <w:marTop w:val="0"/>
      <w:marBottom w:val="0"/>
      <w:divBdr>
        <w:top w:val="none" w:sz="0" w:space="0" w:color="auto"/>
        <w:left w:val="none" w:sz="0" w:space="0" w:color="auto"/>
        <w:bottom w:val="none" w:sz="0" w:space="0" w:color="auto"/>
        <w:right w:val="none" w:sz="0" w:space="0" w:color="auto"/>
      </w:divBdr>
    </w:div>
    <w:div w:id="1355039624">
      <w:bodyDiv w:val="1"/>
      <w:marLeft w:val="0"/>
      <w:marRight w:val="0"/>
      <w:marTop w:val="0"/>
      <w:marBottom w:val="0"/>
      <w:divBdr>
        <w:top w:val="none" w:sz="0" w:space="0" w:color="auto"/>
        <w:left w:val="none" w:sz="0" w:space="0" w:color="auto"/>
        <w:bottom w:val="none" w:sz="0" w:space="0" w:color="auto"/>
        <w:right w:val="none" w:sz="0" w:space="0" w:color="auto"/>
      </w:divBdr>
    </w:div>
    <w:div w:id="1397555343">
      <w:bodyDiv w:val="1"/>
      <w:marLeft w:val="0"/>
      <w:marRight w:val="0"/>
      <w:marTop w:val="0"/>
      <w:marBottom w:val="0"/>
      <w:divBdr>
        <w:top w:val="none" w:sz="0" w:space="0" w:color="auto"/>
        <w:left w:val="none" w:sz="0" w:space="0" w:color="auto"/>
        <w:bottom w:val="none" w:sz="0" w:space="0" w:color="auto"/>
        <w:right w:val="none" w:sz="0" w:space="0" w:color="auto"/>
      </w:divBdr>
    </w:div>
    <w:div w:id="168532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3/a-as547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95E11-0DCA-4B17-952C-CACEB5B3A6D1}">
  <ds:schemaRefs>
    <ds:schemaRef ds:uri="http://schemas.openxmlformats.org/officeDocument/2006/bibliography"/>
  </ds:schemaRefs>
</ds:datastoreItem>
</file>

<file path=customXml/itemProps2.xml><?xml version="1.0" encoding="utf-8"?>
<ds:datastoreItem xmlns:ds="http://schemas.openxmlformats.org/officeDocument/2006/customXml" ds:itemID="{6B2621D9-3B30-43F0-95B3-69B7C1C6A927}">
  <ds:schemaRefs>
    <ds:schemaRef ds:uri="http://schemas.openxmlformats.org/officeDocument/2006/bibliography"/>
  </ds:schemaRefs>
</ds:datastoreItem>
</file>

<file path=customXml/itemProps3.xml><?xml version="1.0" encoding="utf-8"?>
<ds:datastoreItem xmlns:ds="http://schemas.openxmlformats.org/officeDocument/2006/customXml" ds:itemID="{249EE80B-F114-457E-9B9C-7347F2E5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5</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Vinci (ESP)</dc:creator>
  <cp:lastModifiedBy>Igor Vinci (ESP)</cp:lastModifiedBy>
  <cp:revision>37</cp:revision>
  <cp:lastPrinted>2014-09-11T15:11:00Z</cp:lastPrinted>
  <dcterms:created xsi:type="dcterms:W3CDTF">2015-04-15T15:01:00Z</dcterms:created>
  <dcterms:modified xsi:type="dcterms:W3CDTF">2015-05-14T10:33:00Z</dcterms:modified>
</cp:coreProperties>
</file>